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A6" w:rsidRPr="008975A6" w:rsidRDefault="008975A6" w:rsidP="008975A6">
      <w:pPr>
        <w:pStyle w:val="Titolo3"/>
        <w:jc w:val="both"/>
        <w:rPr>
          <w:b w:val="0"/>
          <w:sz w:val="24"/>
          <w:szCs w:val="24"/>
        </w:rPr>
      </w:pPr>
      <w:bookmarkStart w:id="0" w:name="page1"/>
      <w:bookmarkEnd w:id="0"/>
      <w:r w:rsidRPr="008975A6">
        <w:rPr>
          <w:b w:val="0"/>
          <w:sz w:val="24"/>
          <w:szCs w:val="24"/>
        </w:rPr>
        <w:t xml:space="preserve">La seguente relazione fa riferimento alla Bottega del Sapere tenutasi sabato 1 giugno 2019 presso l’esercizio commerciale Libreria </w:t>
      </w:r>
      <w:proofErr w:type="spellStart"/>
      <w:r w:rsidRPr="008975A6">
        <w:rPr>
          <w:b w:val="0"/>
          <w:sz w:val="24"/>
          <w:szCs w:val="24"/>
        </w:rPr>
        <w:t>Martincigh</w:t>
      </w:r>
      <w:proofErr w:type="spellEnd"/>
      <w:r w:rsidRPr="008975A6">
        <w:rPr>
          <w:b w:val="0"/>
          <w:sz w:val="24"/>
          <w:szCs w:val="24"/>
        </w:rPr>
        <w:t>. Il docente coinvolto, Alessio Fornasin, appartiene al Dipartimento di Scienze Economiche e Statistiche dell’Università degli Studi di Udine e hanno sostenuto un incontro con la popolazione, trattando il seguente il tema: “Quanti soldati italiani morirono nella Prima Guerra Mondiale? Anatomia di un’inutile strage”</w:t>
      </w:r>
    </w:p>
    <w:p w:rsidR="0080072A" w:rsidRPr="0021498D" w:rsidRDefault="0080072A" w:rsidP="0021498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498D">
        <w:rPr>
          <w:rFonts w:ascii="Times New Roman" w:hAnsi="Times New Roman" w:cs="Times New Roman"/>
          <w:sz w:val="24"/>
          <w:szCs w:val="24"/>
        </w:rPr>
        <w:t>Botteghe del sapere - Udine, 1</w:t>
      </w:r>
      <w:r w:rsidRPr="0021498D">
        <w:rPr>
          <w:rFonts w:ascii="Times New Roman" w:eastAsia="Arial" w:hAnsi="Times New Roman" w:cs="Times New Roman"/>
          <w:sz w:val="24"/>
          <w:szCs w:val="24"/>
        </w:rPr>
        <w:t>°</w:t>
      </w:r>
      <w:r w:rsidRPr="0021498D">
        <w:rPr>
          <w:rFonts w:ascii="Times New Roman" w:hAnsi="Times New Roman" w:cs="Times New Roman"/>
          <w:sz w:val="24"/>
          <w:szCs w:val="24"/>
        </w:rPr>
        <w:t xml:space="preserve"> giugno 2019</w:t>
      </w:r>
    </w:p>
    <w:p w:rsidR="0080072A" w:rsidRPr="0021498D" w:rsidRDefault="0080072A" w:rsidP="0021498D">
      <w:pPr>
        <w:spacing w:line="0" w:lineRule="atLeas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1498D">
        <w:rPr>
          <w:rFonts w:ascii="Times New Roman" w:hAnsi="Times New Roman" w:cs="Times New Roman"/>
          <w:sz w:val="24"/>
          <w:szCs w:val="24"/>
        </w:rPr>
        <w:t>Alessio Fornasin (Università di Udine - Università di Trieste)</w:t>
      </w:r>
    </w:p>
    <w:p w:rsidR="0080072A" w:rsidRDefault="0080072A" w:rsidP="0021498D">
      <w:pPr>
        <w:spacing w:line="37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47C" w:rsidRPr="0021498D" w:rsidRDefault="000E247C" w:rsidP="0021498D">
      <w:pPr>
        <w:spacing w:line="37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72A" w:rsidRPr="0021498D" w:rsidRDefault="0080072A" w:rsidP="0021498D">
      <w:pPr>
        <w:spacing w:line="22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98D">
        <w:rPr>
          <w:rFonts w:ascii="Times New Roman" w:hAnsi="Times New Roman" w:cs="Times New Roman"/>
          <w:b/>
          <w:sz w:val="24"/>
          <w:szCs w:val="24"/>
        </w:rPr>
        <w:t>Quanti soldati italiani morirono nella Prima guerra mondiale? Anatomia di un'inutile strage</w:t>
      </w:r>
    </w:p>
    <w:p w:rsidR="0080072A" w:rsidRPr="0021498D" w:rsidRDefault="0080072A" w:rsidP="0021498D">
      <w:pPr>
        <w:spacing w:line="223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AC5" w:rsidRPr="0021498D" w:rsidRDefault="0021498D" w:rsidP="0021498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Oggigiorno esistono molteplici fonti che indicano i</w:t>
      </w:r>
      <w:r w:rsidR="00355AC5" w:rsidRPr="0021498D">
        <w:rPr>
          <w:rFonts w:ascii="Times New Roman" w:hAnsi="Times New Roman" w:cs="Times New Roman"/>
          <w:sz w:val="24"/>
          <w:szCs w:val="24"/>
        </w:rPr>
        <w:t xml:space="preserve"> caduti italiani della Grande guerra</w:t>
      </w:r>
      <w:r>
        <w:rPr>
          <w:rFonts w:ascii="Times New Roman" w:hAnsi="Times New Roman" w:cs="Times New Roman"/>
          <w:sz w:val="24"/>
          <w:szCs w:val="24"/>
        </w:rPr>
        <w:t>. Ad esempio lo</w:t>
      </w:r>
      <w:r w:rsidR="00355AC5" w:rsidRPr="0021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55AC5" w:rsidRPr="0021498D">
        <w:rPr>
          <w:rFonts w:ascii="Times New Roman" w:hAnsi="Times New Roman" w:cs="Times New Roman"/>
          <w:sz w:val="24"/>
          <w:szCs w:val="24"/>
        </w:rPr>
        <w:t>Scenario classico</w:t>
      </w:r>
      <w:r>
        <w:rPr>
          <w:rFonts w:ascii="Times New Roman" w:hAnsi="Times New Roman" w:cs="Times New Roman"/>
          <w:sz w:val="24"/>
          <w:szCs w:val="24"/>
        </w:rPr>
        <w:t>” detto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Mainstream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1925 (Mortara) tiene conto di 651.000 caduti. La fonte</w:t>
      </w:r>
      <w:r w:rsidR="00355AC5" w:rsidRPr="0021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55AC5" w:rsidRPr="0021498D">
        <w:rPr>
          <w:rFonts w:ascii="Times New Roman" w:hAnsi="Times New Roman" w:cs="Times New Roman"/>
          <w:sz w:val="24"/>
          <w:szCs w:val="24"/>
        </w:rPr>
        <w:t xml:space="preserve">High </w:t>
      </w:r>
      <w:proofErr w:type="spellStart"/>
      <w:r w:rsidR="00355AC5" w:rsidRPr="0021498D">
        <w:rPr>
          <w:rFonts w:ascii="Times New Roman" w:hAnsi="Times New Roman" w:cs="Times New Roman"/>
          <w:sz w:val="24"/>
          <w:szCs w:val="24"/>
        </w:rPr>
        <w:t>counters</w:t>
      </w:r>
      <w:proofErr w:type="spellEnd"/>
      <w:r>
        <w:rPr>
          <w:rFonts w:ascii="Times New Roman" w:hAnsi="Times New Roman" w:cs="Times New Roman"/>
          <w:sz w:val="24"/>
          <w:szCs w:val="24"/>
        </w:rPr>
        <w:t>” del 2014</w:t>
      </w:r>
      <w:r w:rsidR="00355AC5" w:rsidRPr="0021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Scolè</w:t>
      </w:r>
      <w:proofErr w:type="spellEnd"/>
      <w:r>
        <w:rPr>
          <w:rFonts w:ascii="Times New Roman" w:hAnsi="Times New Roman" w:cs="Times New Roman"/>
          <w:sz w:val="24"/>
          <w:szCs w:val="24"/>
        </w:rPr>
        <w:t>) conta 709.000 morti e infine è presente la “Visione Eretica” del 2017 (Fornasin)</w:t>
      </w:r>
      <w:r w:rsidR="00355AC5" w:rsidRPr="0021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558.000 caduti.</w:t>
      </w:r>
    </w:p>
    <w:p w:rsidR="00355AC5" w:rsidRPr="0021498D" w:rsidRDefault="00355AC5" w:rsidP="0021498D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DD4" w:rsidRPr="0021498D" w:rsidRDefault="0021498D" w:rsidP="0021498D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</w:t>
      </w:r>
      <w:r w:rsidR="00337DD4" w:rsidRPr="0021498D">
        <w:rPr>
          <w:rFonts w:ascii="Times New Roman" w:hAnsi="Times New Roman" w:cs="Times New Roman"/>
          <w:sz w:val="24"/>
          <w:szCs w:val="24"/>
        </w:rPr>
        <w:t xml:space="preserve"> pietre angolari del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337DD4" w:rsidRPr="0021498D">
        <w:rPr>
          <w:rFonts w:ascii="Times New Roman" w:hAnsi="Times New Roman" w:cs="Times New Roman"/>
          <w:sz w:val="24"/>
          <w:szCs w:val="24"/>
        </w:rPr>
        <w:t>ainstream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337DD4" w:rsidRPr="0021498D">
        <w:rPr>
          <w:rFonts w:ascii="Times New Roman" w:hAnsi="Times New Roman" w:cs="Times New Roman"/>
          <w:sz w:val="24"/>
          <w:szCs w:val="24"/>
        </w:rPr>
        <w:t xml:space="preserve"> (G. Mortara and C. </w:t>
      </w:r>
      <w:proofErr w:type="spellStart"/>
      <w:r w:rsidR="00337DD4" w:rsidRPr="0021498D">
        <w:rPr>
          <w:rFonts w:ascii="Times New Roman" w:hAnsi="Times New Roman" w:cs="Times New Roman"/>
          <w:sz w:val="24"/>
          <w:szCs w:val="24"/>
        </w:rPr>
        <w:t>Gini</w:t>
      </w:r>
      <w:proofErr w:type="spellEnd"/>
      <w:r w:rsidR="00337DD4" w:rsidRPr="0021498D">
        <w:rPr>
          <w:rFonts w:ascii="Times New Roman" w:hAnsi="Times New Roman" w:cs="Times New Roman"/>
          <w:sz w:val="24"/>
          <w:szCs w:val="24"/>
        </w:rPr>
        <w:t>):</w:t>
      </w:r>
    </w:p>
    <w:p w:rsidR="00337DD4" w:rsidRPr="0021498D" w:rsidRDefault="00337DD4" w:rsidP="00214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DF" w:rsidRPr="0021498D" w:rsidRDefault="009844DF" w:rsidP="00214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DF" w:rsidRPr="0021498D" w:rsidRDefault="009844DF" w:rsidP="00214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DF" w:rsidRPr="0021498D" w:rsidRDefault="009844DF" w:rsidP="00214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DF" w:rsidRPr="0021498D" w:rsidRDefault="000E247C" w:rsidP="0021498D">
      <w:pPr>
        <w:jc w:val="both"/>
        <w:rPr>
          <w:rFonts w:ascii="Times New Roman" w:hAnsi="Times New Roman" w:cs="Times New Roman"/>
          <w:sz w:val="24"/>
          <w:szCs w:val="24"/>
        </w:rPr>
      </w:pPr>
      <w:r w:rsidRPr="002149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1055887</wp:posOffset>
            </wp:positionH>
            <wp:positionV relativeFrom="paragraph">
              <wp:posOffset>12316</wp:posOffset>
            </wp:positionV>
            <wp:extent cx="4593772" cy="282300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772" cy="282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4DF" w:rsidRPr="0021498D" w:rsidRDefault="009844DF" w:rsidP="00214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DF" w:rsidRPr="0021498D" w:rsidRDefault="009844DF" w:rsidP="00214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DF" w:rsidRPr="0021498D" w:rsidRDefault="009844DF" w:rsidP="00214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DF" w:rsidRPr="0021498D" w:rsidRDefault="009844DF" w:rsidP="00214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DF" w:rsidRPr="0021498D" w:rsidRDefault="009844DF" w:rsidP="00214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DF" w:rsidRPr="0021498D" w:rsidRDefault="009844DF" w:rsidP="00214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DF" w:rsidRPr="0021498D" w:rsidRDefault="009844DF" w:rsidP="00214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DF" w:rsidRPr="0021498D" w:rsidRDefault="009844DF" w:rsidP="00214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DF" w:rsidRPr="0021498D" w:rsidRDefault="009844DF" w:rsidP="00214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DF" w:rsidRPr="0021498D" w:rsidRDefault="009844DF" w:rsidP="00214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DF" w:rsidRPr="0021498D" w:rsidRDefault="009844DF" w:rsidP="00214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4DF" w:rsidRPr="0021498D" w:rsidRDefault="009844DF" w:rsidP="0021498D">
      <w:pPr>
        <w:spacing w:line="32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E247C" w:rsidRDefault="000E247C" w:rsidP="0021498D">
      <w:pPr>
        <w:spacing w:line="32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E247C" w:rsidRDefault="000E247C" w:rsidP="0021498D">
      <w:pPr>
        <w:spacing w:line="32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E247C" w:rsidRDefault="000E247C" w:rsidP="0021498D">
      <w:pPr>
        <w:spacing w:line="32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E247C" w:rsidRDefault="000E247C" w:rsidP="0021498D">
      <w:pPr>
        <w:spacing w:line="32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844DF" w:rsidRPr="0021498D" w:rsidRDefault="0021498D" w:rsidP="0021498D">
      <w:pPr>
        <w:spacing w:line="32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passato sono state fatte parecchie stime riguardanti i</w:t>
      </w:r>
      <w:r w:rsidR="009844DF" w:rsidRPr="0021498D">
        <w:rPr>
          <w:rFonts w:ascii="Times New Roman" w:hAnsi="Times New Roman" w:cs="Times New Roman"/>
          <w:sz w:val="24"/>
          <w:szCs w:val="24"/>
        </w:rPr>
        <w:t xml:space="preserve"> caduti italiani della Grande guerra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1844"/>
        <w:gridCol w:w="1438"/>
        <w:gridCol w:w="1645"/>
      </w:tblGrid>
      <w:tr w:rsidR="009844DF" w:rsidRPr="0021498D" w:rsidTr="0021498D">
        <w:trPr>
          <w:jc w:val="center"/>
        </w:trPr>
        <w:tc>
          <w:tcPr>
            <w:tcW w:w="3450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844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Anno</w:t>
            </w:r>
          </w:p>
        </w:tc>
        <w:tc>
          <w:tcPr>
            <w:tcW w:w="1438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Fine</w:t>
            </w:r>
          </w:p>
        </w:tc>
        <w:tc>
          <w:tcPr>
            <w:tcW w:w="1645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N. caduti</w:t>
            </w:r>
          </w:p>
        </w:tc>
      </w:tr>
      <w:tr w:rsidR="009844DF" w:rsidRPr="0021498D" w:rsidTr="0021498D">
        <w:trPr>
          <w:jc w:val="center"/>
        </w:trPr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4DF" w:rsidRPr="0021498D" w:rsidRDefault="009844DF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pubb</w:t>
            </w:r>
            <w:proofErr w:type="spellEnd"/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periodo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4DF" w:rsidRPr="0021498D" w:rsidRDefault="009844DF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4DF" w:rsidRPr="0021498D" w:rsidTr="0021498D">
        <w:trPr>
          <w:trHeight w:val="1"/>
          <w:jc w:val="center"/>
        </w:trPr>
        <w:tc>
          <w:tcPr>
            <w:tcW w:w="3450" w:type="dxa"/>
            <w:vAlign w:val="bottom"/>
            <w:hideMark/>
          </w:tcPr>
          <w:p w:rsidR="009844DF" w:rsidRPr="0021498D" w:rsidRDefault="009844DF" w:rsidP="0021498D">
            <w:pPr>
              <w:spacing w:line="561" w:lineRule="exac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Comando Supremo</w:t>
            </w:r>
          </w:p>
        </w:tc>
        <w:tc>
          <w:tcPr>
            <w:tcW w:w="1844" w:type="dxa"/>
            <w:vAlign w:val="bottom"/>
            <w:hideMark/>
          </w:tcPr>
          <w:p w:rsidR="009844DF" w:rsidRPr="0021498D" w:rsidRDefault="009844DF" w:rsidP="0021498D">
            <w:pPr>
              <w:spacing w:line="561" w:lineRule="exac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438" w:type="dxa"/>
            <w:vAlign w:val="bottom"/>
            <w:hideMark/>
          </w:tcPr>
          <w:p w:rsidR="009844DF" w:rsidRPr="0021498D" w:rsidRDefault="009844DF" w:rsidP="0021498D">
            <w:pPr>
              <w:spacing w:line="561" w:lineRule="exac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11/11/18</w:t>
            </w:r>
          </w:p>
        </w:tc>
        <w:tc>
          <w:tcPr>
            <w:tcW w:w="1645" w:type="dxa"/>
            <w:vAlign w:val="bottom"/>
            <w:hideMark/>
          </w:tcPr>
          <w:p w:rsidR="009844DF" w:rsidRPr="0021498D" w:rsidRDefault="009844DF" w:rsidP="0021498D">
            <w:pPr>
              <w:spacing w:line="561" w:lineRule="exact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460.000</w:t>
            </w:r>
          </w:p>
        </w:tc>
      </w:tr>
      <w:tr w:rsidR="009844DF" w:rsidRPr="0021498D" w:rsidTr="0021498D">
        <w:trPr>
          <w:jc w:val="center"/>
        </w:trPr>
        <w:tc>
          <w:tcPr>
            <w:tcW w:w="3450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Comando Supremo</w:t>
            </w:r>
          </w:p>
        </w:tc>
        <w:tc>
          <w:tcPr>
            <w:tcW w:w="1844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438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31/12/20</w:t>
            </w:r>
          </w:p>
        </w:tc>
        <w:tc>
          <w:tcPr>
            <w:tcW w:w="1645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564.000</w:t>
            </w:r>
          </w:p>
        </w:tc>
      </w:tr>
      <w:tr w:rsidR="009844DF" w:rsidRPr="0021498D" w:rsidTr="0021498D">
        <w:trPr>
          <w:jc w:val="center"/>
        </w:trPr>
        <w:tc>
          <w:tcPr>
            <w:tcW w:w="3450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Commissione riparazioni</w:t>
            </w:r>
          </w:p>
        </w:tc>
        <w:tc>
          <w:tcPr>
            <w:tcW w:w="1844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438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30/04/20</w:t>
            </w:r>
          </w:p>
        </w:tc>
        <w:tc>
          <w:tcPr>
            <w:tcW w:w="1645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651.000</w:t>
            </w:r>
          </w:p>
        </w:tc>
      </w:tr>
      <w:tr w:rsidR="009844DF" w:rsidRPr="0021498D" w:rsidTr="0021498D">
        <w:trPr>
          <w:jc w:val="center"/>
        </w:trPr>
        <w:tc>
          <w:tcPr>
            <w:tcW w:w="3450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Gini</w:t>
            </w:r>
            <w:proofErr w:type="spellEnd"/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Livi 1924</w:t>
            </w:r>
          </w:p>
        </w:tc>
        <w:tc>
          <w:tcPr>
            <w:tcW w:w="1844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438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31/12/18</w:t>
            </w:r>
          </w:p>
        </w:tc>
        <w:tc>
          <w:tcPr>
            <w:tcW w:w="1645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575.000</w:t>
            </w:r>
          </w:p>
        </w:tc>
      </w:tr>
      <w:tr w:rsidR="009844DF" w:rsidRPr="0021498D" w:rsidTr="0021498D">
        <w:trPr>
          <w:jc w:val="center"/>
        </w:trPr>
        <w:tc>
          <w:tcPr>
            <w:tcW w:w="3450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Mortara 1925</w:t>
            </w:r>
          </w:p>
        </w:tc>
        <w:tc>
          <w:tcPr>
            <w:tcW w:w="1844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438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31/12/20</w:t>
            </w:r>
          </w:p>
        </w:tc>
        <w:tc>
          <w:tcPr>
            <w:tcW w:w="1645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600.000</w:t>
            </w:r>
          </w:p>
        </w:tc>
      </w:tr>
      <w:tr w:rsidR="009844DF" w:rsidRPr="0021498D" w:rsidTr="0021498D">
        <w:trPr>
          <w:jc w:val="center"/>
        </w:trPr>
        <w:tc>
          <w:tcPr>
            <w:tcW w:w="3450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Gini</w:t>
            </w:r>
            <w:proofErr w:type="spellEnd"/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1926</w:t>
            </w:r>
          </w:p>
        </w:tc>
        <w:tc>
          <w:tcPr>
            <w:tcW w:w="1844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438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10/09/25</w:t>
            </w:r>
          </w:p>
        </w:tc>
        <w:tc>
          <w:tcPr>
            <w:tcW w:w="1645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652.000</w:t>
            </w:r>
          </w:p>
        </w:tc>
      </w:tr>
      <w:tr w:rsidR="009844DF" w:rsidRPr="0021498D" w:rsidTr="0021498D">
        <w:trPr>
          <w:jc w:val="center"/>
        </w:trPr>
        <w:tc>
          <w:tcPr>
            <w:tcW w:w="3450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Gini</w:t>
            </w:r>
            <w:proofErr w:type="spellEnd"/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1926</w:t>
            </w:r>
          </w:p>
        </w:tc>
        <w:tc>
          <w:tcPr>
            <w:tcW w:w="1844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438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04/11/18</w:t>
            </w:r>
          </w:p>
        </w:tc>
        <w:tc>
          <w:tcPr>
            <w:tcW w:w="1645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571.000</w:t>
            </w:r>
          </w:p>
        </w:tc>
      </w:tr>
      <w:tr w:rsidR="009844DF" w:rsidRPr="0021498D" w:rsidTr="0021498D">
        <w:trPr>
          <w:jc w:val="center"/>
        </w:trPr>
        <w:tc>
          <w:tcPr>
            <w:tcW w:w="3450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Albo d’oro </w:t>
            </w: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1926-1964</w:t>
            </w:r>
          </w:p>
        </w:tc>
        <w:tc>
          <w:tcPr>
            <w:tcW w:w="1844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1926-1964</w:t>
            </w:r>
          </w:p>
        </w:tc>
        <w:tc>
          <w:tcPr>
            <w:tcW w:w="1438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20/10/20</w:t>
            </w:r>
          </w:p>
        </w:tc>
        <w:tc>
          <w:tcPr>
            <w:tcW w:w="1645" w:type="dxa"/>
            <w:vAlign w:val="bottom"/>
            <w:hideMark/>
          </w:tcPr>
          <w:p w:rsidR="009844DF" w:rsidRPr="0021498D" w:rsidRDefault="009844DF" w:rsidP="0021498D">
            <w:pPr>
              <w:spacing w:line="0" w:lineRule="atLeast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529.025</w:t>
            </w:r>
          </w:p>
        </w:tc>
      </w:tr>
      <w:tr w:rsidR="009844DF" w:rsidRPr="0021498D" w:rsidTr="0021498D">
        <w:trPr>
          <w:trHeight w:val="2"/>
          <w:jc w:val="center"/>
        </w:trPr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4DF" w:rsidRPr="0021498D" w:rsidRDefault="009844DF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4DF" w:rsidRPr="0021498D" w:rsidRDefault="009844DF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4DF" w:rsidRPr="0021498D" w:rsidRDefault="009844DF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44DF" w:rsidRPr="0021498D" w:rsidRDefault="009844DF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44DF" w:rsidRPr="0021498D" w:rsidRDefault="009844DF" w:rsidP="0021498D">
      <w:pPr>
        <w:jc w:val="both"/>
        <w:rPr>
          <w:rFonts w:ascii="Times New Roman" w:hAnsi="Times New Roman" w:cs="Times New Roman"/>
          <w:sz w:val="24"/>
          <w:szCs w:val="24"/>
        </w:rPr>
        <w:sectPr w:rsidR="009844DF" w:rsidRPr="0021498D" w:rsidSect="0021498D">
          <w:type w:val="continuous"/>
          <w:pgSz w:w="10800" w:h="14400"/>
          <w:pgMar w:top="1417" w:right="1134" w:bottom="1134" w:left="1134" w:header="0" w:footer="0" w:gutter="0"/>
          <w:cols w:space="720"/>
          <w:docGrid w:linePitch="272"/>
        </w:sectPr>
      </w:pPr>
      <w:bookmarkStart w:id="1" w:name="_GoBack"/>
      <w:bookmarkEnd w:id="1"/>
    </w:p>
    <w:p w:rsidR="009751B0" w:rsidRDefault="009751B0" w:rsidP="009751B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r w:rsidR="00337DD4" w:rsidRPr="0021498D">
        <w:rPr>
          <w:rFonts w:ascii="Times New Roman" w:hAnsi="Times New Roman" w:cs="Times New Roman"/>
          <w:sz w:val="24"/>
          <w:szCs w:val="24"/>
        </w:rPr>
        <w:t>“Visione eretica”</w:t>
      </w:r>
      <w:r>
        <w:rPr>
          <w:rFonts w:ascii="Times New Roman" w:hAnsi="Times New Roman" w:cs="Times New Roman"/>
          <w:sz w:val="24"/>
          <w:szCs w:val="24"/>
        </w:rPr>
        <w:t xml:space="preserve"> del 2017 si basa su diverse fonti: </w:t>
      </w:r>
      <w:r w:rsidR="00337DD4" w:rsidRPr="0021498D">
        <w:rPr>
          <w:rFonts w:ascii="Times New Roman" w:hAnsi="Times New Roman" w:cs="Times New Roman"/>
          <w:sz w:val="24"/>
          <w:szCs w:val="24"/>
        </w:rPr>
        <w:t>l’Albo d’oro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DD4" w:rsidRPr="0021498D">
        <w:rPr>
          <w:rFonts w:ascii="Times New Roman" w:hAnsi="Times New Roman" w:cs="Times New Roman"/>
          <w:sz w:val="24"/>
          <w:szCs w:val="24"/>
        </w:rPr>
        <w:t xml:space="preserve">vol. 26, Veneto I, </w:t>
      </w:r>
      <w:r>
        <w:rPr>
          <w:rFonts w:ascii="Times New Roman" w:hAnsi="Times New Roman" w:cs="Times New Roman"/>
          <w:sz w:val="24"/>
          <w:szCs w:val="24"/>
        </w:rPr>
        <w:t xml:space="preserve">del 1964 e il </w:t>
      </w:r>
      <w:r w:rsidR="00337DD4" w:rsidRPr="0021498D">
        <w:rPr>
          <w:rFonts w:ascii="Times New Roman" w:hAnsi="Times New Roman" w:cs="Times New Roman"/>
          <w:sz w:val="24"/>
          <w:szCs w:val="24"/>
        </w:rPr>
        <w:t xml:space="preserve">vol. 27, Veneto II,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337DD4" w:rsidRPr="0021498D">
        <w:rPr>
          <w:rFonts w:ascii="Times New Roman" w:hAnsi="Times New Roman" w:cs="Times New Roman"/>
          <w:sz w:val="24"/>
          <w:szCs w:val="24"/>
        </w:rPr>
        <w:t>1964.</w:t>
      </w:r>
      <w:r>
        <w:rPr>
          <w:rFonts w:ascii="Times New Roman" w:hAnsi="Times New Roman" w:cs="Times New Roman"/>
          <w:sz w:val="24"/>
          <w:szCs w:val="24"/>
        </w:rPr>
        <w:t xml:space="preserve"> L’albo d’oro è stato pubblicato il 28 volumi tra il 1926 e il 1964, registrando 592.025 morti.</w:t>
      </w:r>
    </w:p>
    <w:p w:rsidR="009751B0" w:rsidRDefault="009751B0" w:rsidP="009751B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9751B0" w:rsidP="009751B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L’Albo d’oro si caratterizza grazie ad una p</w:t>
      </w:r>
      <w:r w:rsidR="00337DD4" w:rsidRPr="0021498D">
        <w:rPr>
          <w:rFonts w:ascii="Times New Roman" w:hAnsi="Times New Roman" w:cs="Times New Roman"/>
          <w:sz w:val="24"/>
          <w:szCs w:val="24"/>
        </w:rPr>
        <w:t xml:space="preserve">luralità di fonti, tra cui: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37DD4" w:rsidRPr="0021498D">
        <w:rPr>
          <w:rFonts w:ascii="Times New Roman" w:hAnsi="Times New Roman" w:cs="Times New Roman"/>
          <w:sz w:val="24"/>
          <w:szCs w:val="24"/>
        </w:rPr>
        <w:t xml:space="preserve">comuni, </w:t>
      </w:r>
      <w:r>
        <w:rPr>
          <w:rFonts w:ascii="Times New Roman" w:hAnsi="Times New Roman" w:cs="Times New Roman"/>
          <w:sz w:val="24"/>
          <w:szCs w:val="24"/>
        </w:rPr>
        <w:t>la croce rossa, gli u</w:t>
      </w:r>
      <w:r w:rsidR="00337DD4" w:rsidRPr="0021498D">
        <w:rPr>
          <w:rFonts w:ascii="Times New Roman" w:hAnsi="Times New Roman" w:cs="Times New Roman"/>
          <w:sz w:val="24"/>
          <w:szCs w:val="24"/>
        </w:rPr>
        <w:t xml:space="preserve">ffici notizie, </w:t>
      </w:r>
      <w:r>
        <w:rPr>
          <w:rFonts w:ascii="Times New Roman" w:hAnsi="Times New Roman" w:cs="Times New Roman"/>
          <w:sz w:val="24"/>
          <w:szCs w:val="24"/>
        </w:rPr>
        <w:t>l’esercito e</w:t>
      </w:r>
      <w:r w:rsidR="00337DD4" w:rsidRPr="0021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direzione generale delle p</w:t>
      </w:r>
      <w:r w:rsidR="00337DD4" w:rsidRPr="0021498D">
        <w:rPr>
          <w:rFonts w:ascii="Times New Roman" w:hAnsi="Times New Roman" w:cs="Times New Roman"/>
          <w:sz w:val="24"/>
          <w:szCs w:val="24"/>
        </w:rPr>
        <w:t>ensioni di guerra. Contiene dati individuali ed è trasparente nei criteri di compilazione, stando alle fonti di Zugaro del 1926. L’ albo d’oro possiede vari punti di forza</w:t>
      </w:r>
      <w:r>
        <w:rPr>
          <w:rFonts w:ascii="Times New Roman" w:hAnsi="Times New Roman" w:cs="Times New Roman"/>
          <w:sz w:val="24"/>
          <w:szCs w:val="24"/>
        </w:rPr>
        <w:t>, come ad esempio</w:t>
      </w:r>
      <w:r w:rsidR="00337DD4" w:rsidRPr="0021498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337DD4" w:rsidRPr="0021498D">
        <w:rPr>
          <w:rFonts w:ascii="Times New Roman" w:hAnsi="Times New Roman" w:cs="Times New Roman"/>
          <w:sz w:val="24"/>
          <w:szCs w:val="24"/>
        </w:rPr>
        <w:t xml:space="preserve">pochissime duplicazioni,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337DD4" w:rsidRPr="0021498D">
        <w:rPr>
          <w:rFonts w:ascii="Times New Roman" w:hAnsi="Times New Roman" w:cs="Times New Roman"/>
          <w:sz w:val="24"/>
          <w:szCs w:val="24"/>
        </w:rPr>
        <w:t xml:space="preserve">coerenza interna dei dati, </w:t>
      </w:r>
      <w:r>
        <w:rPr>
          <w:rFonts w:ascii="Times New Roman" w:hAnsi="Times New Roman" w:cs="Times New Roman"/>
          <w:sz w:val="24"/>
          <w:szCs w:val="24"/>
        </w:rPr>
        <w:t>la coerenza tra dati ed eventi e</w:t>
      </w:r>
      <w:r w:rsidR="00337DD4" w:rsidRPr="0021498D">
        <w:rPr>
          <w:rFonts w:ascii="Times New Roman" w:hAnsi="Times New Roman" w:cs="Times New Roman"/>
          <w:sz w:val="24"/>
          <w:szCs w:val="24"/>
        </w:rPr>
        <w:t xml:space="preserve"> possibilità di riscontri con altre font</w:t>
      </w:r>
      <w:r>
        <w:rPr>
          <w:rFonts w:ascii="Times New Roman" w:hAnsi="Times New Roman" w:cs="Times New Roman"/>
          <w:sz w:val="24"/>
          <w:szCs w:val="24"/>
        </w:rPr>
        <w:t>i. Tuttavia, presenta dei limiti</w:t>
      </w:r>
      <w:r w:rsidR="00337DD4" w:rsidRPr="0021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come le </w:t>
      </w:r>
      <w:r w:rsidR="00337DD4" w:rsidRPr="0021498D">
        <w:rPr>
          <w:rFonts w:ascii="Times New Roman" w:hAnsi="Times New Roman" w:cs="Times New Roman"/>
          <w:sz w:val="24"/>
          <w:szCs w:val="24"/>
        </w:rPr>
        <w:t xml:space="preserve">esclusioni internazionali,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337DD4" w:rsidRPr="0021498D">
        <w:rPr>
          <w:rFonts w:ascii="Times New Roman" w:hAnsi="Times New Roman" w:cs="Times New Roman"/>
          <w:sz w:val="24"/>
          <w:szCs w:val="24"/>
        </w:rPr>
        <w:t>omissioni non intenzionali e inclusioni non pertinenti</w:t>
      </w:r>
    </w:p>
    <w:p w:rsidR="00337DD4" w:rsidRPr="0021498D" w:rsidRDefault="00337DD4" w:rsidP="0021498D">
      <w:pPr>
        <w:tabs>
          <w:tab w:val="left" w:pos="7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337DD4" w:rsidP="0021498D">
      <w:pPr>
        <w:tabs>
          <w:tab w:val="left" w:pos="7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49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12428</wp:posOffset>
            </wp:positionV>
            <wp:extent cx="5322388" cy="254254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388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DD4" w:rsidRPr="0021498D" w:rsidRDefault="00337DD4" w:rsidP="0021498D">
      <w:pPr>
        <w:tabs>
          <w:tab w:val="left" w:pos="7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337DD4" w:rsidP="0021498D">
      <w:pPr>
        <w:tabs>
          <w:tab w:val="left" w:pos="7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337DD4" w:rsidP="0021498D">
      <w:pPr>
        <w:tabs>
          <w:tab w:val="left" w:pos="7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337DD4" w:rsidP="0021498D">
      <w:pPr>
        <w:tabs>
          <w:tab w:val="left" w:pos="7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337DD4" w:rsidP="0021498D">
      <w:pPr>
        <w:tabs>
          <w:tab w:val="left" w:pos="7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337DD4" w:rsidP="0021498D">
      <w:pPr>
        <w:tabs>
          <w:tab w:val="left" w:pos="7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337DD4" w:rsidP="0021498D">
      <w:pPr>
        <w:tabs>
          <w:tab w:val="left" w:pos="7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337DD4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337DD4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337DD4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337DD4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337DD4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337DD4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337DD4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6C5DD1" w:rsidP="0021498D">
      <w:pPr>
        <w:spacing w:line="0" w:lineRule="atLeast"/>
        <w:ind w:left="2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seguente grafico rappresenta i soldati deceduti in serie annuale utilizzando come fonte l’</w:t>
      </w:r>
      <w:r w:rsidR="00337DD4" w:rsidRPr="0021498D">
        <w:rPr>
          <w:rFonts w:ascii="Times New Roman" w:eastAsia="Arial" w:hAnsi="Times New Roman" w:cs="Times New Roman"/>
          <w:sz w:val="24"/>
          <w:szCs w:val="24"/>
        </w:rPr>
        <w:t xml:space="preserve">Albo d'oro 1926-1964; </w:t>
      </w:r>
      <w:proofErr w:type="spellStart"/>
      <w:r w:rsidR="00337DD4" w:rsidRPr="0021498D">
        <w:rPr>
          <w:rFonts w:ascii="Times New Roman" w:eastAsia="Arial" w:hAnsi="Times New Roman" w:cs="Times New Roman"/>
          <w:sz w:val="24"/>
          <w:szCs w:val="24"/>
        </w:rPr>
        <w:t>Glei</w:t>
      </w:r>
      <w:proofErr w:type="spellEnd"/>
      <w:r w:rsidR="00337DD4" w:rsidRPr="0021498D">
        <w:rPr>
          <w:rFonts w:ascii="Times New Roman" w:eastAsia="Arial" w:hAnsi="Times New Roman" w:cs="Times New Roman"/>
          <w:sz w:val="24"/>
          <w:szCs w:val="24"/>
        </w:rPr>
        <w:t xml:space="preserve"> et al. 2005.</w:t>
      </w:r>
    </w:p>
    <w:p w:rsidR="00337DD4" w:rsidRPr="0021498D" w:rsidRDefault="00337DD4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17175A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149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5419725" cy="3128645"/>
            <wp:effectExtent l="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12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DD4" w:rsidRPr="0021498D" w:rsidRDefault="00337DD4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337DD4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337DD4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337DD4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337DD4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337DD4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337DD4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337DD4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337DD4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37DD4" w:rsidRPr="0021498D" w:rsidRDefault="00337DD4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7175A" w:rsidRDefault="0017175A" w:rsidP="006C5DD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75A" w:rsidRDefault="0017175A" w:rsidP="006C5DD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75A" w:rsidRDefault="0017175A" w:rsidP="006C5DD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75A" w:rsidRDefault="0017175A" w:rsidP="006C5DD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75A" w:rsidRDefault="0017175A" w:rsidP="006C5DD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75A" w:rsidRDefault="0017175A" w:rsidP="006C5DD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75A" w:rsidRDefault="0017175A" w:rsidP="006C5DD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75A" w:rsidRDefault="0017175A" w:rsidP="006C5DD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75A" w:rsidRDefault="0017175A" w:rsidP="006C5DD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75A" w:rsidRDefault="0017175A" w:rsidP="006C5DD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75A" w:rsidRDefault="0017175A" w:rsidP="006C5DD1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17175A" w:rsidRDefault="006C5DD1" w:rsidP="0017175A">
      <w:pPr>
        <w:spacing w:line="21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Utilizzando sempre come fonte l’Albo d’oro del 1926-1964. Possiamo indicare nel seguente grafico il numero</w:t>
      </w:r>
      <w:r w:rsidR="00337DD4" w:rsidRPr="0021498D">
        <w:rPr>
          <w:rFonts w:ascii="Times New Roman" w:hAnsi="Times New Roman" w:cs="Times New Roman"/>
          <w:sz w:val="24"/>
          <w:szCs w:val="24"/>
        </w:rPr>
        <w:t xml:space="preserve"> dei morti </w:t>
      </w:r>
      <w:r>
        <w:rPr>
          <w:rFonts w:ascii="Times New Roman" w:hAnsi="Times New Roman" w:cs="Times New Roman"/>
          <w:sz w:val="24"/>
          <w:szCs w:val="24"/>
        </w:rPr>
        <w:t>in guerra per mese, a partire dal maggio 1915</w:t>
      </w:r>
      <w:r w:rsidR="0017175A">
        <w:rPr>
          <w:rFonts w:ascii="Times New Roman" w:hAnsi="Times New Roman" w:cs="Times New Roman"/>
          <w:sz w:val="24"/>
          <w:szCs w:val="24"/>
        </w:rPr>
        <w:t>, fino al novembre 1918</w:t>
      </w: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17175A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1498D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329111</wp:posOffset>
            </wp:positionH>
            <wp:positionV relativeFrom="paragraph">
              <wp:posOffset>-903243</wp:posOffset>
            </wp:positionV>
            <wp:extent cx="5431790" cy="3065670"/>
            <wp:effectExtent l="0" t="0" r="0" b="190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306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7175A" w:rsidRDefault="0017175A" w:rsidP="006C5DD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6C5DD1" w:rsidP="006C5DD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Tuttavia è naturale porsi la questione: q</w:t>
      </w:r>
      <w:r w:rsidR="002B3401" w:rsidRPr="0021498D">
        <w:rPr>
          <w:rFonts w:ascii="Times New Roman" w:hAnsi="Times New Roman" w:cs="Times New Roman"/>
          <w:sz w:val="24"/>
          <w:szCs w:val="24"/>
        </w:rPr>
        <w:t>uanto è affidabile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401" w:rsidRPr="006C5DD1">
        <w:rPr>
          <w:rFonts w:ascii="Times New Roman" w:hAnsi="Times New Roman" w:cs="Times New Roman"/>
          <w:sz w:val="24"/>
          <w:szCs w:val="24"/>
        </w:rPr>
        <w:t>l’Albo d’oro?</w:t>
      </w:r>
      <w:r>
        <w:rPr>
          <w:rFonts w:ascii="Times New Roman" w:hAnsi="Times New Roman" w:cs="Times New Roman"/>
          <w:sz w:val="24"/>
          <w:szCs w:val="24"/>
        </w:rPr>
        <w:t xml:space="preserve"> Le risposte a questa domanda variano molto a seconda della posizione e della fonte impiegata per le proprie ricerche. I sostenitori della “Teoria eretica” affermano l’affidabilità dell’Albo d’oro mentre i critici sostenitori della versione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mainstream</w:t>
      </w:r>
      <w:proofErr w:type="spellEnd"/>
      <w:r>
        <w:rPr>
          <w:rFonts w:ascii="Times New Roman" w:hAnsi="Times New Roman" w:cs="Times New Roman"/>
          <w:sz w:val="24"/>
          <w:szCs w:val="24"/>
        </w:rPr>
        <w:t>” affermano la teoria opposta.</w:t>
      </w:r>
    </w:p>
    <w:p w:rsidR="007C360C" w:rsidRDefault="007C360C" w:rsidP="006C5DD1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401" w:rsidRPr="006C5DD1" w:rsidRDefault="006C5DD1" w:rsidP="006C5DD1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Tuttavia c’è una consistente differenza del 22,9% </w:t>
      </w:r>
      <w:r w:rsidR="002B3401" w:rsidRPr="0021498D">
        <w:rPr>
          <w:rFonts w:ascii="Times New Roman" w:eastAsia="Arial" w:hAnsi="Times New Roman" w:cs="Times New Roman"/>
          <w:sz w:val="24"/>
          <w:szCs w:val="24"/>
        </w:rPr>
        <w:t>tra l’</w:t>
      </w:r>
      <w:r w:rsidR="002B3401" w:rsidRPr="0021498D">
        <w:rPr>
          <w:rFonts w:ascii="Times New Roman" w:eastAsia="Arial" w:hAnsi="Times New Roman" w:cs="Times New Roman"/>
          <w:i/>
          <w:sz w:val="24"/>
          <w:szCs w:val="24"/>
        </w:rPr>
        <w:t>Albo d’oro</w:t>
      </w:r>
      <w:r>
        <w:rPr>
          <w:rFonts w:ascii="Times New Roman" w:eastAsia="Arial" w:hAnsi="Times New Roman" w:cs="Times New Roman"/>
          <w:sz w:val="24"/>
          <w:szCs w:val="24"/>
        </w:rPr>
        <w:t xml:space="preserve"> e i dati ‘veri’ della teoria “</w:t>
      </w:r>
      <w:proofErr w:type="spellStart"/>
      <w:r w:rsidR="002B3401" w:rsidRPr="0021498D">
        <w:rPr>
          <w:rFonts w:ascii="Times New Roman" w:eastAsia="Arial" w:hAnsi="Times New Roman" w:cs="Times New Roman"/>
          <w:sz w:val="24"/>
          <w:szCs w:val="24"/>
        </w:rPr>
        <w:t>Mainstream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”, </w:t>
      </w:r>
      <w:r w:rsidR="002B3401" w:rsidRPr="0021498D">
        <w:rPr>
          <w:rFonts w:ascii="Times New Roman" w:eastAsia="Arial" w:hAnsi="Times New Roman" w:cs="Times New Roman"/>
          <w:sz w:val="24"/>
          <w:szCs w:val="24"/>
        </w:rPr>
        <w:t xml:space="preserve">650.000 </w:t>
      </w:r>
      <w:r>
        <w:rPr>
          <w:rFonts w:ascii="Times New Roman" w:eastAsia="Arial" w:hAnsi="Times New Roman" w:cs="Times New Roman"/>
          <w:sz w:val="24"/>
          <w:szCs w:val="24"/>
        </w:rPr>
        <w:t>caduti invece di 529.000</w:t>
      </w:r>
      <w:r w:rsidR="002B3401" w:rsidRPr="0021498D">
        <w:rPr>
          <w:rFonts w:ascii="Times New Roman" w:eastAsia="Arial" w:hAnsi="Times New Roman" w:cs="Times New Roman"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sz w:val="24"/>
          <w:szCs w:val="24"/>
        </w:rPr>
        <w:t>Mentre la differenza tra l’Albo d’oro e la visione eretica è più marginale, solo il 5,5%, 558.000 morti invece di 529.000. A questo punto viene spontaneo chiedersi, quale di questi due dati è il più plausibile?</w:t>
      </w: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Default="007C360C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ricerca sull’anatomia di questa </w:t>
      </w:r>
      <w:r w:rsidR="002B3401" w:rsidRPr="0021498D">
        <w:rPr>
          <w:rFonts w:ascii="Times New Roman" w:hAnsi="Times New Roman" w:cs="Times New Roman"/>
          <w:sz w:val="24"/>
          <w:szCs w:val="24"/>
        </w:rPr>
        <w:t xml:space="preserve">inutile </w:t>
      </w:r>
      <w:r>
        <w:rPr>
          <w:rFonts w:ascii="Times New Roman" w:hAnsi="Times New Roman" w:cs="Times New Roman"/>
          <w:sz w:val="24"/>
          <w:szCs w:val="24"/>
        </w:rPr>
        <w:t>strage porta alla</w:t>
      </w:r>
      <w:r w:rsidR="002B3401" w:rsidRPr="0021498D">
        <w:rPr>
          <w:rFonts w:ascii="Times New Roman" w:hAnsi="Times New Roman" w:cs="Times New Roman"/>
          <w:sz w:val="24"/>
          <w:szCs w:val="24"/>
        </w:rPr>
        <w:t xml:space="preserve"> riabilitazione di una fonte,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2B3401" w:rsidRPr="0021498D">
        <w:rPr>
          <w:rFonts w:ascii="Times New Roman" w:hAnsi="Times New Roman" w:cs="Times New Roman"/>
          <w:sz w:val="24"/>
          <w:szCs w:val="24"/>
        </w:rPr>
        <w:t>comprende una constatazione, due casi di studio, tre prove contro l’Albo d</w:t>
      </w:r>
      <w:r>
        <w:rPr>
          <w:rFonts w:ascii="Times New Roman" w:hAnsi="Times New Roman" w:cs="Times New Roman"/>
          <w:sz w:val="24"/>
          <w:szCs w:val="24"/>
        </w:rPr>
        <w:t>’Oro e</w:t>
      </w:r>
      <w:r w:rsidR="002B3401" w:rsidRPr="0021498D">
        <w:rPr>
          <w:rFonts w:ascii="Times New Roman" w:hAnsi="Times New Roman" w:cs="Times New Roman"/>
          <w:sz w:val="24"/>
          <w:szCs w:val="24"/>
        </w:rPr>
        <w:t xml:space="preserve"> tre prove a favore dell</w:t>
      </w:r>
      <w:r w:rsidR="006C5DD1">
        <w:rPr>
          <w:rFonts w:ascii="Times New Roman" w:hAnsi="Times New Roman" w:cs="Times New Roman"/>
          <w:sz w:val="24"/>
          <w:szCs w:val="24"/>
        </w:rPr>
        <w:t>’</w:t>
      </w:r>
      <w:r w:rsidR="002B3401" w:rsidRPr="0021498D">
        <w:rPr>
          <w:rFonts w:ascii="Times New Roman" w:hAnsi="Times New Roman" w:cs="Times New Roman"/>
          <w:sz w:val="24"/>
          <w:szCs w:val="24"/>
        </w:rPr>
        <w:t>Albo d’Oro.</w:t>
      </w:r>
    </w:p>
    <w:p w:rsidR="007C360C" w:rsidRPr="0021498D" w:rsidRDefault="007C360C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C360C" w:rsidRDefault="007C360C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seguente tabella sono indicati quanti s</w:t>
      </w:r>
      <w:r w:rsidR="002B3401" w:rsidRPr="0021498D">
        <w:rPr>
          <w:rFonts w:ascii="Times New Roman" w:hAnsi="Times New Roman" w:cs="Times New Roman"/>
          <w:sz w:val="24"/>
          <w:szCs w:val="24"/>
        </w:rPr>
        <w:t>oldati italiani</w:t>
      </w:r>
      <w:r>
        <w:rPr>
          <w:rFonts w:ascii="Times New Roman" w:hAnsi="Times New Roman" w:cs="Times New Roman"/>
          <w:sz w:val="24"/>
          <w:szCs w:val="24"/>
        </w:rPr>
        <w:t xml:space="preserve"> sono</w:t>
      </w:r>
      <w:r w:rsidR="002B3401" w:rsidRPr="0021498D">
        <w:rPr>
          <w:rFonts w:ascii="Times New Roman" w:hAnsi="Times New Roman" w:cs="Times New Roman"/>
          <w:sz w:val="24"/>
          <w:szCs w:val="24"/>
        </w:rPr>
        <w:t xml:space="preserve"> morti a causa della guerra (in migliaia) secondo le diverse fonti</w:t>
      </w:r>
      <w:r>
        <w:rPr>
          <w:rFonts w:ascii="Times New Roman" w:hAnsi="Times New Roman" w:cs="Times New Roman"/>
          <w:sz w:val="24"/>
          <w:szCs w:val="24"/>
        </w:rPr>
        <w:t xml:space="preserve"> considerate</w:t>
      </w:r>
      <w:r w:rsidR="002B3401" w:rsidRPr="0021498D">
        <w:rPr>
          <w:rFonts w:ascii="Times New Roman" w:hAnsi="Times New Roman" w:cs="Times New Roman"/>
          <w:sz w:val="24"/>
          <w:szCs w:val="24"/>
        </w:rPr>
        <w:t>.</w:t>
      </w:r>
    </w:p>
    <w:p w:rsidR="007C360C" w:rsidRDefault="007C360C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C360C" w:rsidRPr="0021498D" w:rsidRDefault="007C360C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1398"/>
        <w:gridCol w:w="1186"/>
        <w:gridCol w:w="927"/>
        <w:gridCol w:w="1868"/>
      </w:tblGrid>
      <w:tr w:rsidR="002B3401" w:rsidRPr="0021498D" w:rsidTr="007C360C">
        <w:trPr>
          <w:trHeight w:val="199"/>
        </w:trPr>
        <w:tc>
          <w:tcPr>
            <w:tcW w:w="2904" w:type="dxa"/>
            <w:vAlign w:val="bottom"/>
          </w:tcPr>
          <w:p w:rsidR="002B3401" w:rsidRPr="0021498D" w:rsidRDefault="002B3401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bottom"/>
          </w:tcPr>
          <w:p w:rsidR="002B3401" w:rsidRPr="0021498D" w:rsidRDefault="002B3401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Align w:val="bottom"/>
          </w:tcPr>
          <w:p w:rsidR="002B3401" w:rsidRPr="0021498D" w:rsidRDefault="002B3401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bottom"/>
          </w:tcPr>
          <w:p w:rsidR="002B3401" w:rsidRPr="0021498D" w:rsidRDefault="002B3401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bottom"/>
            <w:hideMark/>
          </w:tcPr>
          <w:p w:rsidR="002B3401" w:rsidRPr="0021498D" w:rsidRDefault="002B3401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Diff</w:t>
            </w:r>
            <w:proofErr w:type="spellEnd"/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. %</w:t>
            </w:r>
          </w:p>
        </w:tc>
      </w:tr>
      <w:tr w:rsidR="002B3401" w:rsidRPr="0021498D" w:rsidTr="007C360C">
        <w:trPr>
          <w:trHeight w:val="202"/>
        </w:trPr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3401" w:rsidRPr="0021498D" w:rsidRDefault="002B3401" w:rsidP="0021498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Causa o contesto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3401" w:rsidRPr="0021498D" w:rsidRDefault="002B3401" w:rsidP="007C36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Albo d'oro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3401" w:rsidRPr="0021498D" w:rsidRDefault="002B3401" w:rsidP="007C36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Mortara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3401" w:rsidRPr="0021498D" w:rsidRDefault="002B3401" w:rsidP="007C36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Gini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3401" w:rsidRPr="0021498D" w:rsidRDefault="002B3401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Mortara-</w:t>
            </w:r>
            <w:proofErr w:type="spellStart"/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Gini</w:t>
            </w:r>
            <w:proofErr w:type="spellEnd"/>
          </w:p>
        </w:tc>
      </w:tr>
      <w:tr w:rsidR="002B3401" w:rsidRPr="0021498D" w:rsidTr="007C360C">
        <w:trPr>
          <w:trHeight w:val="194"/>
        </w:trPr>
        <w:tc>
          <w:tcPr>
            <w:tcW w:w="2904" w:type="dxa"/>
            <w:vAlign w:val="bottom"/>
            <w:hideMark/>
          </w:tcPr>
          <w:p w:rsidR="002B3401" w:rsidRPr="0021498D" w:rsidRDefault="002B3401" w:rsidP="0021498D">
            <w:pPr>
              <w:spacing w:line="527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Ferita (1915-18)</w:t>
            </w:r>
          </w:p>
        </w:tc>
        <w:tc>
          <w:tcPr>
            <w:tcW w:w="1398" w:type="dxa"/>
            <w:vAlign w:val="bottom"/>
            <w:hideMark/>
          </w:tcPr>
          <w:p w:rsidR="002B3401" w:rsidRPr="0021498D" w:rsidRDefault="002B3401" w:rsidP="0021498D">
            <w:pPr>
              <w:spacing w:line="527" w:lineRule="exac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331</w:t>
            </w:r>
          </w:p>
        </w:tc>
        <w:tc>
          <w:tcPr>
            <w:tcW w:w="1186" w:type="dxa"/>
            <w:vAlign w:val="bottom"/>
            <w:hideMark/>
          </w:tcPr>
          <w:p w:rsidR="002B3401" w:rsidRPr="0021498D" w:rsidRDefault="002B3401" w:rsidP="0021498D">
            <w:pPr>
              <w:spacing w:line="527" w:lineRule="exac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378</w:t>
            </w:r>
          </w:p>
        </w:tc>
        <w:tc>
          <w:tcPr>
            <w:tcW w:w="927" w:type="dxa"/>
            <w:vAlign w:val="bottom"/>
            <w:hideMark/>
          </w:tcPr>
          <w:p w:rsidR="002B3401" w:rsidRPr="0021498D" w:rsidRDefault="002B3401" w:rsidP="0021498D">
            <w:pPr>
              <w:spacing w:line="5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868" w:type="dxa"/>
            <w:vAlign w:val="bottom"/>
            <w:hideMark/>
          </w:tcPr>
          <w:p w:rsidR="002B3401" w:rsidRPr="0021498D" w:rsidRDefault="002B3401" w:rsidP="0021498D">
            <w:pPr>
              <w:spacing w:line="527" w:lineRule="exac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-5,0</w:t>
            </w:r>
          </w:p>
        </w:tc>
      </w:tr>
      <w:tr w:rsidR="002B3401" w:rsidRPr="0021498D" w:rsidTr="007C360C">
        <w:trPr>
          <w:trHeight w:val="200"/>
        </w:trPr>
        <w:tc>
          <w:tcPr>
            <w:tcW w:w="2904" w:type="dxa"/>
            <w:vAlign w:val="bottom"/>
            <w:hideMark/>
          </w:tcPr>
          <w:p w:rsidR="002B3401" w:rsidRPr="0021498D" w:rsidRDefault="002B3401" w:rsidP="0021498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Malattia (1915-18)</w:t>
            </w:r>
          </w:p>
        </w:tc>
        <w:tc>
          <w:tcPr>
            <w:tcW w:w="1398" w:type="dxa"/>
            <w:vAlign w:val="bottom"/>
            <w:hideMark/>
          </w:tcPr>
          <w:p w:rsidR="002B3401" w:rsidRPr="0021498D" w:rsidRDefault="002B3401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126</w:t>
            </w:r>
          </w:p>
        </w:tc>
        <w:tc>
          <w:tcPr>
            <w:tcW w:w="1186" w:type="dxa"/>
            <w:vAlign w:val="bottom"/>
            <w:hideMark/>
          </w:tcPr>
          <w:p w:rsidR="002B3401" w:rsidRPr="0021498D" w:rsidRDefault="002B3401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157</w:t>
            </w:r>
          </w:p>
        </w:tc>
        <w:tc>
          <w:tcPr>
            <w:tcW w:w="927" w:type="dxa"/>
            <w:vAlign w:val="bottom"/>
            <w:hideMark/>
          </w:tcPr>
          <w:p w:rsidR="002B3401" w:rsidRPr="0021498D" w:rsidRDefault="002B3401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68" w:type="dxa"/>
            <w:vAlign w:val="bottom"/>
            <w:hideMark/>
          </w:tcPr>
          <w:p w:rsidR="002B3401" w:rsidRPr="0021498D" w:rsidRDefault="002B3401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2B3401" w:rsidRPr="0021498D" w:rsidTr="007C360C">
        <w:trPr>
          <w:trHeight w:val="199"/>
        </w:trPr>
        <w:tc>
          <w:tcPr>
            <w:tcW w:w="2904" w:type="dxa"/>
            <w:vAlign w:val="bottom"/>
            <w:hideMark/>
          </w:tcPr>
          <w:p w:rsidR="002B3401" w:rsidRPr="0021498D" w:rsidRDefault="002B3401" w:rsidP="0021498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In cattività (1915-18)</w:t>
            </w:r>
          </w:p>
        </w:tc>
        <w:tc>
          <w:tcPr>
            <w:tcW w:w="1398" w:type="dxa"/>
            <w:vAlign w:val="bottom"/>
            <w:hideMark/>
          </w:tcPr>
          <w:p w:rsidR="002B3401" w:rsidRPr="0021498D" w:rsidRDefault="002B3401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86" w:type="dxa"/>
            <w:vAlign w:val="bottom"/>
            <w:hideMark/>
          </w:tcPr>
          <w:p w:rsidR="002B3401" w:rsidRPr="0021498D" w:rsidRDefault="002B3401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90</w:t>
            </w:r>
          </w:p>
        </w:tc>
        <w:tc>
          <w:tcPr>
            <w:tcW w:w="927" w:type="dxa"/>
            <w:vAlign w:val="bottom"/>
            <w:hideMark/>
          </w:tcPr>
          <w:p w:rsidR="002B3401" w:rsidRPr="0021498D" w:rsidRDefault="002B3401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68" w:type="dxa"/>
            <w:vAlign w:val="bottom"/>
            <w:hideMark/>
          </w:tcPr>
          <w:p w:rsidR="002B3401" w:rsidRPr="0021498D" w:rsidRDefault="002B3401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2B3401" w:rsidRPr="0021498D" w:rsidTr="007C360C">
        <w:trPr>
          <w:trHeight w:val="204"/>
        </w:trPr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3401" w:rsidRPr="0021498D" w:rsidRDefault="002B3401" w:rsidP="0021498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Tutte le cause (1919-20)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3401" w:rsidRPr="0021498D" w:rsidRDefault="002B3401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3401" w:rsidRPr="0021498D" w:rsidRDefault="002B3401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3401" w:rsidRPr="0021498D" w:rsidRDefault="002B3401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3401" w:rsidRPr="0021498D" w:rsidRDefault="002B3401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-107,7</w:t>
            </w:r>
          </w:p>
        </w:tc>
      </w:tr>
      <w:tr w:rsidR="002B3401" w:rsidRPr="0021498D" w:rsidTr="007C360C">
        <w:trPr>
          <w:trHeight w:val="197"/>
        </w:trPr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3401" w:rsidRPr="0021498D" w:rsidRDefault="002B3401" w:rsidP="0021498D">
            <w:pPr>
              <w:spacing w:line="527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3401" w:rsidRPr="0021498D" w:rsidRDefault="002B3401" w:rsidP="0021498D">
            <w:pPr>
              <w:spacing w:line="527" w:lineRule="exac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3401" w:rsidRPr="0021498D" w:rsidRDefault="002B3401" w:rsidP="0021498D">
            <w:pPr>
              <w:spacing w:line="527" w:lineRule="exac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3401" w:rsidRPr="0021498D" w:rsidRDefault="002B3401" w:rsidP="0021498D">
            <w:pPr>
              <w:spacing w:line="5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3401" w:rsidRPr="0021498D" w:rsidRDefault="002B3401" w:rsidP="0021498D">
            <w:pPr>
              <w:spacing w:line="5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7C360C" w:rsidRDefault="007C360C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C360C" w:rsidRDefault="007C360C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7C360C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dividiamo questo studio in diversi casi. Il primo caso prende in considerazione i morti in combattimento, tra 24 maggio19</w:t>
      </w:r>
      <w:r w:rsidR="002B3401" w:rsidRPr="0021498D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ed il 4 novembre 19</w:t>
      </w:r>
      <w:r w:rsidR="002B3401" w:rsidRPr="0021498D">
        <w:rPr>
          <w:rFonts w:ascii="Times New Roman" w:hAnsi="Times New Roman" w:cs="Times New Roman"/>
          <w:sz w:val="24"/>
          <w:szCs w:val="24"/>
        </w:rPr>
        <w:t>18). Il Mortara indica 378.000 morti,</w:t>
      </w:r>
      <w:r>
        <w:rPr>
          <w:rFonts w:ascii="Times New Roman" w:hAnsi="Times New Roman" w:cs="Times New Roman"/>
          <w:sz w:val="24"/>
          <w:szCs w:val="24"/>
        </w:rPr>
        <w:t xml:space="preserve"> mentre</w:t>
      </w:r>
      <w:r w:rsidR="002B3401" w:rsidRPr="0021498D">
        <w:rPr>
          <w:rFonts w:ascii="Times New Roman" w:hAnsi="Times New Roman" w:cs="Times New Roman"/>
          <w:sz w:val="24"/>
          <w:szCs w:val="24"/>
        </w:rPr>
        <w:t xml:space="preserve"> i diari dei reggimenti 322.000 e l’albo d’oro 331.000.</w:t>
      </w: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1498D">
        <w:rPr>
          <w:rFonts w:ascii="Times New Roman" w:hAnsi="Times New Roman" w:cs="Times New Roman"/>
          <w:sz w:val="24"/>
          <w:szCs w:val="24"/>
        </w:rPr>
        <w:t>La seconda fonte, la “Visione Eretica” contiene i diari di tutti i reggimenti di fanteria (inclusi Alpini e Bersaglieri) ed è stata pubblicata in dieci volumi dal 1924 al 1931.</w:t>
      </w:r>
      <w:r w:rsidR="00933DB7" w:rsidRPr="0021498D">
        <w:rPr>
          <w:rFonts w:ascii="Times New Roman" w:hAnsi="Times New Roman" w:cs="Times New Roman"/>
          <w:sz w:val="24"/>
          <w:szCs w:val="24"/>
        </w:rPr>
        <w:t xml:space="preserve"> Inoltre contiene vari documenti tra cui la stoia militare dei singoli soldati.</w:t>
      </w: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1498D"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-197395</wp:posOffset>
            </wp:positionH>
            <wp:positionV relativeFrom="paragraph">
              <wp:posOffset>-687342</wp:posOffset>
            </wp:positionV>
            <wp:extent cx="6137636" cy="44196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636" cy="441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Pr="0021498D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B3401" w:rsidRPr="0021498D" w:rsidRDefault="002B3401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seguente grafico mostra i m</w:t>
      </w:r>
      <w:r w:rsidR="002B3401" w:rsidRPr="0021498D">
        <w:rPr>
          <w:rFonts w:ascii="Times New Roman" w:hAnsi="Times New Roman" w:cs="Times New Roman"/>
          <w:sz w:val="24"/>
          <w:szCs w:val="24"/>
        </w:rPr>
        <w:t>orti in combattimento</w:t>
      </w:r>
      <w:r>
        <w:rPr>
          <w:rFonts w:ascii="Times New Roman" w:hAnsi="Times New Roman" w:cs="Times New Roman"/>
          <w:sz w:val="24"/>
          <w:szCs w:val="24"/>
        </w:rPr>
        <w:t xml:space="preserve"> considerando l’Albo d’oro, il Mortara e i diari dei regimenti:</w:t>
      </w:r>
    </w:p>
    <w:p w:rsidR="0017175A" w:rsidRDefault="0017175A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1498D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5840730" cy="3837940"/>
            <wp:effectExtent l="0" t="0" r="762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383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40F" w:rsidRPr="0021498D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040F" w:rsidRDefault="00AF040F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questo punto è doveroso considerare quanti soldati sono caduti come prigionieri di guerra. Secondo il </w:t>
      </w:r>
      <w:r w:rsidRPr="0021498D">
        <w:rPr>
          <w:rFonts w:ascii="Times New Roman" w:eastAsia="Times New Roman" w:hAnsi="Times New Roman" w:cs="Times New Roman"/>
          <w:sz w:val="24"/>
          <w:szCs w:val="24"/>
        </w:rPr>
        <w:t>Paradigma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1993</w:t>
      </w:r>
      <w:r w:rsidRPr="0021498D">
        <w:rPr>
          <w:rFonts w:ascii="Times New Roman" w:eastAsia="Times New Roman" w:hAnsi="Times New Roman" w:cs="Times New Roman"/>
          <w:sz w:val="24"/>
          <w:szCs w:val="24"/>
        </w:rPr>
        <w:t xml:space="preserve"> (Proca</w:t>
      </w:r>
      <w:r>
        <w:rPr>
          <w:rFonts w:ascii="Times New Roman" w:eastAsia="Times New Roman" w:hAnsi="Times New Roman" w:cs="Times New Roman"/>
          <w:sz w:val="24"/>
          <w:szCs w:val="24"/>
        </w:rPr>
        <w:t>cci</w:t>
      </w:r>
      <w:r w:rsidRPr="0021498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furono 100.000, mentre secondo il</w:t>
      </w:r>
      <w:r w:rsidRPr="0021498D">
        <w:rPr>
          <w:rFonts w:ascii="Times New Roman" w:eastAsia="Times New Roman" w:hAnsi="Times New Roman" w:cs="Times New Roman"/>
          <w:sz w:val="24"/>
          <w:szCs w:val="24"/>
        </w:rPr>
        <w:t xml:space="preserve"> Mortara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furono tra</w:t>
      </w:r>
      <w:r w:rsidRPr="00214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90.000 ed i 100.000.  Secondo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 una sua successiva correzione furono 67.000, mentre per gli “High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più di 100.000. Infine la Visione eretica ne conta “solamente” </w:t>
      </w:r>
      <w:r w:rsidRPr="0021498D">
        <w:rPr>
          <w:rFonts w:ascii="Times New Roman" w:eastAsia="Times New Roman" w:hAnsi="Times New Roman" w:cs="Times New Roman"/>
          <w:sz w:val="24"/>
          <w:szCs w:val="24"/>
        </w:rPr>
        <w:t>50.000.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401" w:rsidRPr="0021498D" w:rsidRDefault="00AF040F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8D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proofErr w:type="spellStart"/>
      <w:r w:rsidRPr="0021498D">
        <w:rPr>
          <w:rFonts w:ascii="Times New Roman" w:eastAsia="Times New Roman" w:hAnsi="Times New Roman" w:cs="Times New Roman"/>
          <w:sz w:val="24"/>
          <w:szCs w:val="24"/>
        </w:rPr>
        <w:t>Gini</w:t>
      </w:r>
      <w:proofErr w:type="spellEnd"/>
      <w:r w:rsidRPr="0021498D">
        <w:rPr>
          <w:rFonts w:ascii="Times New Roman" w:eastAsia="Times New Roman" w:hAnsi="Times New Roman" w:cs="Times New Roman"/>
          <w:sz w:val="24"/>
          <w:szCs w:val="24"/>
        </w:rPr>
        <w:t xml:space="preserve"> sp</w:t>
      </w:r>
      <w:r>
        <w:rPr>
          <w:rFonts w:ascii="Times New Roman" w:eastAsia="Times New Roman" w:hAnsi="Times New Roman" w:cs="Times New Roman"/>
          <w:sz w:val="24"/>
          <w:szCs w:val="24"/>
        </w:rPr>
        <w:t>iega che i morti in cattività non possono rappresentare</w:t>
      </w:r>
      <w:r w:rsidRPr="0021498D">
        <w:rPr>
          <w:rFonts w:ascii="Times New Roman" w:eastAsia="Times New Roman" w:hAnsi="Times New Roman" w:cs="Times New Roman"/>
          <w:sz w:val="24"/>
          <w:szCs w:val="24"/>
        </w:rPr>
        <w:t xml:space="preserve"> tutti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21498D">
        <w:rPr>
          <w:rFonts w:ascii="Times New Roman" w:eastAsia="Times New Roman" w:hAnsi="Times New Roman" w:cs="Times New Roman"/>
          <w:sz w:val="24"/>
          <w:szCs w:val="24"/>
        </w:rPr>
        <w:t xml:space="preserve"> “veri” prigionieri. </w:t>
      </w:r>
      <w:r>
        <w:rPr>
          <w:rFonts w:ascii="Times New Roman" w:eastAsia="Times New Roman" w:hAnsi="Times New Roman" w:cs="Times New Roman"/>
          <w:sz w:val="24"/>
          <w:szCs w:val="24"/>
        </w:rPr>
        <w:t>Infatti nella sua versione vengono indicati i morti per malattia, circa 51.000</w:t>
      </w:r>
      <w:r w:rsidRPr="0021498D">
        <w:rPr>
          <w:rFonts w:ascii="Times New Roman" w:eastAsia="Times New Roman" w:hAnsi="Times New Roman" w:cs="Times New Roman"/>
          <w:sz w:val="24"/>
          <w:szCs w:val="24"/>
        </w:rPr>
        <w:t>, i morti per ferita</w:t>
      </w:r>
      <w:r>
        <w:rPr>
          <w:rFonts w:ascii="Times New Roman" w:eastAsia="Times New Roman" w:hAnsi="Times New Roman" w:cs="Times New Roman"/>
          <w:sz w:val="24"/>
          <w:szCs w:val="24"/>
        </w:rPr>
        <w:t>, circa 16.000</w:t>
      </w:r>
      <w:r w:rsidRPr="0021498D">
        <w:rPr>
          <w:rFonts w:ascii="Times New Roman" w:eastAsia="Times New Roman" w:hAnsi="Times New Roman" w:cs="Times New Roman"/>
          <w:sz w:val="24"/>
          <w:szCs w:val="24"/>
        </w:rPr>
        <w:t xml:space="preserve"> ed i caduti in battaglia</w:t>
      </w:r>
      <w:r>
        <w:rPr>
          <w:rFonts w:ascii="Times New Roman" w:eastAsia="Times New Roman" w:hAnsi="Times New Roman" w:cs="Times New Roman"/>
          <w:sz w:val="24"/>
          <w:szCs w:val="24"/>
        </w:rPr>
        <w:t>. circa 11.000, per un totale di 78.000 di caduti</w:t>
      </w:r>
      <w:r w:rsidR="002B3401" w:rsidRPr="002149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084" w:rsidRPr="0021498D" w:rsidRDefault="00AB4084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084" w:rsidRPr="0021498D" w:rsidRDefault="00AB4084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084" w:rsidRDefault="00FC033A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 prendiamo in considerazione le tre evidenze contro l’Albo d’oro. Bisogna indicare le d</w:t>
      </w:r>
      <w:r w:rsidR="00AB4084" w:rsidRPr="0021498D">
        <w:rPr>
          <w:rFonts w:ascii="Times New Roman" w:eastAsia="Times New Roman" w:hAnsi="Times New Roman" w:cs="Times New Roman"/>
          <w:sz w:val="24"/>
          <w:szCs w:val="24"/>
        </w:rPr>
        <w:t>ifferenze tra l’Albo d’oro e i dati presunti veri considerando i soldati italiani morti in cattività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033A" w:rsidRDefault="00FC033A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33A" w:rsidRPr="0021498D" w:rsidRDefault="00FC033A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084" w:rsidRPr="0021498D" w:rsidRDefault="00AB4084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206"/>
        <w:gridCol w:w="1337"/>
        <w:gridCol w:w="1390"/>
        <w:gridCol w:w="1219"/>
        <w:gridCol w:w="1180"/>
        <w:gridCol w:w="1363"/>
        <w:gridCol w:w="1259"/>
      </w:tblGrid>
      <w:tr w:rsidR="00AB4084" w:rsidRPr="0021498D" w:rsidTr="00AB4084">
        <w:trPr>
          <w:trHeight w:val="305"/>
        </w:trPr>
        <w:tc>
          <w:tcPr>
            <w:tcW w:w="26" w:type="dxa"/>
            <w:vAlign w:val="bottom"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N.</w:t>
            </w:r>
          </w:p>
        </w:tc>
        <w:tc>
          <w:tcPr>
            <w:tcW w:w="1219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N. morti</w:t>
            </w:r>
          </w:p>
        </w:tc>
        <w:tc>
          <w:tcPr>
            <w:tcW w:w="1180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N. morti</w:t>
            </w:r>
          </w:p>
        </w:tc>
        <w:tc>
          <w:tcPr>
            <w:tcW w:w="1363" w:type="dxa"/>
            <w:vAlign w:val="bottom"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084" w:rsidRPr="0021498D" w:rsidTr="00AB4084">
        <w:trPr>
          <w:trHeight w:val="311"/>
        </w:trPr>
        <w:tc>
          <w:tcPr>
            <w:tcW w:w="26" w:type="dxa"/>
            <w:vAlign w:val="bottom"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377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Distretto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377" w:lineRule="exact"/>
              <w:ind w:lef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Classi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3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Prigionieri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3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Ruoli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377" w:lineRule="exac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Albo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37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N. mancanti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377" w:lineRule="exac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% mancanti</w:t>
            </w:r>
          </w:p>
        </w:tc>
      </w:tr>
      <w:tr w:rsidR="00AB4084" w:rsidRPr="0021498D" w:rsidTr="00AB4084">
        <w:trPr>
          <w:trHeight w:val="332"/>
        </w:trPr>
        <w:tc>
          <w:tcPr>
            <w:tcW w:w="26" w:type="dxa"/>
            <w:vAlign w:val="bottom"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Udine</w:t>
            </w:r>
          </w:p>
        </w:tc>
        <w:tc>
          <w:tcPr>
            <w:tcW w:w="1337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left="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1895</w:t>
            </w:r>
          </w:p>
        </w:tc>
        <w:tc>
          <w:tcPr>
            <w:tcW w:w="1390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19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33</w:t>
            </w:r>
          </w:p>
        </w:tc>
        <w:tc>
          <w:tcPr>
            <w:tcW w:w="1180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3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4</w:t>
            </w:r>
          </w:p>
        </w:tc>
        <w:tc>
          <w:tcPr>
            <w:tcW w:w="1259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AB4084" w:rsidRPr="0021498D" w:rsidTr="00AB4084">
        <w:trPr>
          <w:trHeight w:val="340"/>
        </w:trPr>
        <w:tc>
          <w:tcPr>
            <w:tcW w:w="26" w:type="dxa"/>
            <w:vAlign w:val="bottom"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Vicenza</w:t>
            </w:r>
          </w:p>
        </w:tc>
        <w:tc>
          <w:tcPr>
            <w:tcW w:w="1337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left="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1897-99</w:t>
            </w:r>
          </w:p>
        </w:tc>
        <w:tc>
          <w:tcPr>
            <w:tcW w:w="1390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1921</w:t>
            </w:r>
          </w:p>
        </w:tc>
        <w:tc>
          <w:tcPr>
            <w:tcW w:w="1219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80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63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9</w:t>
            </w:r>
          </w:p>
        </w:tc>
        <w:tc>
          <w:tcPr>
            <w:tcW w:w="1259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B4084" w:rsidRPr="0021498D" w:rsidTr="00AB4084">
        <w:trPr>
          <w:trHeight w:val="339"/>
        </w:trPr>
        <w:tc>
          <w:tcPr>
            <w:tcW w:w="26" w:type="dxa"/>
            <w:vAlign w:val="bottom"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Sassari</w:t>
            </w:r>
          </w:p>
        </w:tc>
        <w:tc>
          <w:tcPr>
            <w:tcW w:w="1337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left="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1895</w:t>
            </w:r>
          </w:p>
        </w:tc>
        <w:tc>
          <w:tcPr>
            <w:tcW w:w="1390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19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10</w:t>
            </w:r>
          </w:p>
        </w:tc>
        <w:tc>
          <w:tcPr>
            <w:tcW w:w="1180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9</w:t>
            </w:r>
          </w:p>
        </w:tc>
        <w:tc>
          <w:tcPr>
            <w:tcW w:w="1363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1259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AB4084" w:rsidRPr="0021498D" w:rsidTr="00AB4084">
        <w:trPr>
          <w:trHeight w:val="343"/>
        </w:trPr>
        <w:tc>
          <w:tcPr>
            <w:tcW w:w="26" w:type="dxa"/>
            <w:vAlign w:val="bottom"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Como</w:t>
            </w:r>
          </w:p>
        </w:tc>
        <w:tc>
          <w:tcPr>
            <w:tcW w:w="1337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left="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1895-98</w:t>
            </w:r>
          </w:p>
        </w:tc>
        <w:tc>
          <w:tcPr>
            <w:tcW w:w="1390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1769</w:t>
            </w:r>
          </w:p>
        </w:tc>
        <w:tc>
          <w:tcPr>
            <w:tcW w:w="1219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80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63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1259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B4084" w:rsidRPr="0021498D" w:rsidTr="00AB4084">
        <w:trPr>
          <w:trHeight w:val="339"/>
        </w:trPr>
        <w:tc>
          <w:tcPr>
            <w:tcW w:w="26" w:type="dxa"/>
            <w:vAlign w:val="bottom"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Padova</w:t>
            </w:r>
          </w:p>
        </w:tc>
        <w:tc>
          <w:tcPr>
            <w:tcW w:w="1337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left="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1876-99</w:t>
            </w:r>
          </w:p>
        </w:tc>
        <w:tc>
          <w:tcPr>
            <w:tcW w:w="1390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10571</w:t>
            </w:r>
          </w:p>
        </w:tc>
        <w:tc>
          <w:tcPr>
            <w:tcW w:w="1219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1180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1241</w:t>
            </w:r>
          </w:p>
        </w:tc>
        <w:tc>
          <w:tcPr>
            <w:tcW w:w="1363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30</w:t>
            </w:r>
          </w:p>
        </w:tc>
        <w:tc>
          <w:tcPr>
            <w:tcW w:w="1259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B4084" w:rsidRPr="0021498D" w:rsidTr="00AB4084">
        <w:trPr>
          <w:trHeight w:val="347"/>
        </w:trPr>
        <w:tc>
          <w:tcPr>
            <w:tcW w:w="26" w:type="dxa"/>
            <w:vAlign w:val="bottom"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Rovigo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left="15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1876-99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3762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AB4084" w:rsidRPr="0021498D" w:rsidTr="00AB4084">
        <w:trPr>
          <w:trHeight w:val="336"/>
        </w:trPr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18502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2156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</w:tr>
    </w:tbl>
    <w:p w:rsidR="00AB4084" w:rsidRPr="0021498D" w:rsidRDefault="00AB4084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084" w:rsidRPr="0021498D" w:rsidRDefault="00AB4084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084" w:rsidRPr="0021498D" w:rsidRDefault="00FC033A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conseguenza b</w:t>
      </w:r>
      <w:r w:rsidR="00AB4084" w:rsidRPr="0021498D">
        <w:rPr>
          <w:rFonts w:ascii="Times New Roman" w:eastAsia="Times New Roman" w:hAnsi="Times New Roman" w:cs="Times New Roman"/>
          <w:sz w:val="24"/>
          <w:szCs w:val="24"/>
        </w:rPr>
        <w:t>isogna considerare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 non tutt</w:t>
      </w:r>
      <w:r w:rsidR="00AB4084" w:rsidRPr="0021498D">
        <w:rPr>
          <w:rFonts w:ascii="Times New Roman" w:eastAsia="Times New Roman" w:hAnsi="Times New Roman" w:cs="Times New Roman"/>
          <w:sz w:val="24"/>
          <w:szCs w:val="24"/>
        </w:rPr>
        <w:t>i soldati morti lasciavano un diritto alla pensione, alcune cifre sommano pensioni indirette (morti) e pensioni dirette (invalid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i). La differenza tra il numero </w:t>
      </w:r>
      <w:r w:rsidR="00AB4084" w:rsidRPr="0021498D">
        <w:rPr>
          <w:rFonts w:ascii="Times New Roman" w:eastAsia="Times New Roman" w:hAnsi="Times New Roman" w:cs="Times New Roman"/>
          <w:sz w:val="24"/>
          <w:szCs w:val="24"/>
        </w:rPr>
        <w:t>di domande di aventi diritto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alta</w:t>
      </w:r>
      <w:r w:rsidR="00AB4084" w:rsidRPr="0021498D">
        <w:rPr>
          <w:rFonts w:ascii="Times New Roman" w:eastAsia="Times New Roman" w:hAnsi="Times New Roman" w:cs="Times New Roman"/>
          <w:sz w:val="24"/>
          <w:szCs w:val="24"/>
        </w:rPr>
        <w:t xml:space="preserve"> poiché molte pensioni erano temporanee. </w:t>
      </w:r>
      <w:r>
        <w:rPr>
          <w:rFonts w:ascii="Times New Roman" w:eastAsia="Times New Roman" w:hAnsi="Times New Roman" w:cs="Times New Roman"/>
          <w:sz w:val="24"/>
          <w:szCs w:val="24"/>
        </w:rPr>
        <w:t>Le p</w:t>
      </w:r>
      <w:r w:rsidR="00AB4084" w:rsidRPr="0021498D">
        <w:rPr>
          <w:rFonts w:ascii="Times New Roman" w:eastAsia="Times New Roman" w:hAnsi="Times New Roman" w:cs="Times New Roman"/>
          <w:sz w:val="24"/>
          <w:szCs w:val="24"/>
        </w:rPr>
        <w:t xml:space="preserve">ensioni di guerra </w:t>
      </w:r>
      <w:r>
        <w:rPr>
          <w:rFonts w:ascii="Times New Roman" w:eastAsia="Times New Roman" w:hAnsi="Times New Roman" w:cs="Times New Roman"/>
          <w:sz w:val="24"/>
          <w:szCs w:val="24"/>
        </w:rPr>
        <w:t>stimate oscillato tra 592.000 e 750.000.</w:t>
      </w:r>
      <w:r w:rsidR="00AB4084" w:rsidRPr="00214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4084" w:rsidRPr="0021498D" w:rsidRDefault="00AB4084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084" w:rsidRPr="0021498D" w:rsidRDefault="00FC033A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seconda evidenza contro l’Albo d’oro e rappresentata dallo s</w:t>
      </w:r>
      <w:r w:rsidR="00AB4084" w:rsidRPr="0021498D">
        <w:rPr>
          <w:rFonts w:ascii="Times New Roman" w:eastAsia="Times New Roman" w:hAnsi="Times New Roman" w:cs="Times New Roman"/>
          <w:sz w:val="24"/>
          <w:szCs w:val="24"/>
        </w:rPr>
        <w:t>tato civile dei decessi.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È importantissimo fare attenzione</w:t>
      </w:r>
      <w:r w:rsidR="00AB4084" w:rsidRPr="0021498D">
        <w:rPr>
          <w:rFonts w:ascii="Times New Roman" w:eastAsia="Times New Roman" w:hAnsi="Times New Roman" w:cs="Times New Roman"/>
          <w:sz w:val="24"/>
          <w:szCs w:val="24"/>
        </w:rPr>
        <w:t xml:space="preserve"> alle doppie registrazioni delle autorità militari,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alle </w:t>
      </w:r>
      <w:r w:rsidR="00AB4084" w:rsidRPr="0021498D">
        <w:rPr>
          <w:rFonts w:ascii="Times New Roman" w:eastAsia="Times New Roman" w:hAnsi="Times New Roman" w:cs="Times New Roman"/>
          <w:sz w:val="24"/>
          <w:szCs w:val="24"/>
        </w:rPr>
        <w:t xml:space="preserve">doppie registrazioni delle autorità civili,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alla </w:t>
      </w:r>
      <w:r w:rsidR="00AB4084" w:rsidRPr="0021498D">
        <w:rPr>
          <w:rFonts w:ascii="Times New Roman" w:eastAsia="Times New Roman" w:hAnsi="Times New Roman" w:cs="Times New Roman"/>
          <w:sz w:val="24"/>
          <w:szCs w:val="24"/>
        </w:rPr>
        <w:t xml:space="preserve">sovrastima dei </w:t>
      </w:r>
      <w:r>
        <w:rPr>
          <w:rFonts w:ascii="Times New Roman" w:eastAsia="Times New Roman" w:hAnsi="Times New Roman" w:cs="Times New Roman"/>
          <w:sz w:val="24"/>
          <w:szCs w:val="24"/>
        </w:rPr>
        <w:t>morti dopo la fine della guerra ed alla</w:t>
      </w:r>
      <w:r w:rsidR="00AB4084" w:rsidRPr="0021498D">
        <w:rPr>
          <w:rFonts w:ascii="Times New Roman" w:eastAsia="Times New Roman" w:hAnsi="Times New Roman" w:cs="Times New Roman"/>
          <w:sz w:val="24"/>
          <w:szCs w:val="24"/>
        </w:rPr>
        <w:t xml:space="preserve"> sov</w:t>
      </w:r>
      <w:r>
        <w:rPr>
          <w:rFonts w:ascii="Times New Roman" w:eastAsia="Times New Roman" w:hAnsi="Times New Roman" w:cs="Times New Roman"/>
          <w:sz w:val="24"/>
          <w:szCs w:val="24"/>
        </w:rPr>
        <w:t>rastima dei morti in prigionia.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3"/>
        <w:gridCol w:w="1220"/>
      </w:tblGrid>
      <w:tr w:rsidR="00AB4084" w:rsidRPr="0021498D" w:rsidTr="00FC033A">
        <w:trPr>
          <w:trHeight w:val="524"/>
        </w:trPr>
        <w:tc>
          <w:tcPr>
            <w:tcW w:w="7173" w:type="dxa"/>
            <w:vAlign w:val="bottom"/>
            <w:hideMark/>
          </w:tcPr>
          <w:p w:rsidR="00AB4084" w:rsidRDefault="00AB4084" w:rsidP="0021498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C033A" w:rsidRPr="0021498D" w:rsidRDefault="00FC033A" w:rsidP="0021498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Arial" w:hAnsi="Times New Roman" w:cs="Times New Roman"/>
                <w:sz w:val="24"/>
                <w:szCs w:val="24"/>
              </w:rPr>
              <w:t>Autorità militari</w:t>
            </w:r>
          </w:p>
        </w:tc>
        <w:tc>
          <w:tcPr>
            <w:tcW w:w="1220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Arial" w:hAnsi="Times New Roman" w:cs="Times New Roman"/>
                <w:sz w:val="24"/>
                <w:szCs w:val="24"/>
              </w:rPr>
              <w:t>561</w:t>
            </w:r>
            <w:r w:rsidR="00FC033A">
              <w:rPr>
                <w:rFonts w:ascii="Times New Roman" w:eastAsia="Arial" w:hAnsi="Times New Roman" w:cs="Times New Roman"/>
                <w:sz w:val="24"/>
                <w:szCs w:val="24"/>
              </w:rPr>
              <w:t>.000</w:t>
            </w:r>
          </w:p>
        </w:tc>
      </w:tr>
      <w:tr w:rsidR="00AB4084" w:rsidRPr="0021498D" w:rsidTr="00FC033A">
        <w:trPr>
          <w:trHeight w:val="548"/>
        </w:trPr>
        <w:tc>
          <w:tcPr>
            <w:tcW w:w="7173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Arial" w:hAnsi="Times New Roman" w:cs="Times New Roman"/>
                <w:sz w:val="24"/>
                <w:szCs w:val="24"/>
              </w:rPr>
              <w:t>Autorità civili</w:t>
            </w:r>
          </w:p>
        </w:tc>
        <w:tc>
          <w:tcPr>
            <w:tcW w:w="1220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Arial" w:hAnsi="Times New Roman" w:cs="Times New Roman"/>
                <w:sz w:val="24"/>
                <w:szCs w:val="24"/>
              </w:rPr>
              <w:t>82</w:t>
            </w:r>
            <w:r w:rsidR="00FC033A">
              <w:rPr>
                <w:rFonts w:ascii="Times New Roman" w:eastAsia="Arial" w:hAnsi="Times New Roman" w:cs="Times New Roman"/>
                <w:sz w:val="24"/>
                <w:szCs w:val="24"/>
              </w:rPr>
              <w:t>.000</w:t>
            </w:r>
          </w:p>
        </w:tc>
      </w:tr>
      <w:tr w:rsidR="00AB4084" w:rsidRPr="0021498D" w:rsidTr="00FC033A">
        <w:trPr>
          <w:trHeight w:val="548"/>
        </w:trPr>
        <w:tc>
          <w:tcPr>
            <w:tcW w:w="7173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Arial" w:hAnsi="Times New Roman" w:cs="Times New Roman"/>
                <w:sz w:val="24"/>
                <w:szCs w:val="24"/>
              </w:rPr>
              <w:t>Morti dopo la fine della guerra</w:t>
            </w:r>
          </w:p>
        </w:tc>
        <w:tc>
          <w:tcPr>
            <w:tcW w:w="1220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Arial" w:hAnsi="Times New Roman" w:cs="Times New Roman"/>
                <w:sz w:val="24"/>
                <w:szCs w:val="24"/>
              </w:rPr>
              <w:t>77</w:t>
            </w:r>
            <w:r w:rsidR="00FC033A">
              <w:rPr>
                <w:rFonts w:ascii="Times New Roman" w:eastAsia="Arial" w:hAnsi="Times New Roman" w:cs="Times New Roman"/>
                <w:sz w:val="24"/>
                <w:szCs w:val="24"/>
              </w:rPr>
              <w:t>.000</w:t>
            </w:r>
          </w:p>
        </w:tc>
      </w:tr>
      <w:tr w:rsidR="00AB4084" w:rsidRPr="0021498D" w:rsidTr="00FC033A">
        <w:trPr>
          <w:trHeight w:val="548"/>
        </w:trPr>
        <w:tc>
          <w:tcPr>
            <w:tcW w:w="7173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Arial" w:hAnsi="Times New Roman" w:cs="Times New Roman"/>
                <w:sz w:val="24"/>
                <w:szCs w:val="24"/>
              </w:rPr>
              <w:t>Morti in prigionia</w:t>
            </w:r>
          </w:p>
        </w:tc>
        <w:tc>
          <w:tcPr>
            <w:tcW w:w="1220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Arial" w:hAnsi="Times New Roman" w:cs="Times New Roman"/>
                <w:sz w:val="24"/>
                <w:szCs w:val="24"/>
              </w:rPr>
              <w:t>90</w:t>
            </w:r>
            <w:r w:rsidR="00FC033A">
              <w:rPr>
                <w:rFonts w:ascii="Times New Roman" w:eastAsia="Arial" w:hAnsi="Times New Roman" w:cs="Times New Roman"/>
                <w:sz w:val="24"/>
                <w:szCs w:val="24"/>
              </w:rPr>
              <w:t>.000</w:t>
            </w:r>
          </w:p>
        </w:tc>
      </w:tr>
      <w:tr w:rsidR="00AB4084" w:rsidRPr="0021498D" w:rsidTr="00FC033A">
        <w:trPr>
          <w:trHeight w:val="548"/>
        </w:trPr>
        <w:tc>
          <w:tcPr>
            <w:tcW w:w="7173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Arial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1220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Arial" w:hAnsi="Times New Roman" w:cs="Times New Roman"/>
                <w:sz w:val="24"/>
                <w:szCs w:val="24"/>
              </w:rPr>
              <w:t>810</w:t>
            </w:r>
            <w:r w:rsidR="00FC033A">
              <w:rPr>
                <w:rFonts w:ascii="Times New Roman" w:eastAsia="Arial" w:hAnsi="Times New Roman" w:cs="Times New Roman"/>
                <w:sz w:val="24"/>
                <w:szCs w:val="24"/>
              </w:rPr>
              <w:t>.000</w:t>
            </w:r>
          </w:p>
        </w:tc>
      </w:tr>
    </w:tbl>
    <w:p w:rsidR="00AB4084" w:rsidRPr="0021498D" w:rsidRDefault="00AB4084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33A" w:rsidRDefault="00FC033A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33A" w:rsidRDefault="00FC033A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La terza evidenza contro l’Albo d’oro prende in considerazione il proprio archivio, composto da più di 700.000 fascicoli, quindi è necessario prestare attenzione ai dossier duplicati e ai dossier dei soldati che non avevano i requisiti per svolgere la propria funzione.</w:t>
      </w:r>
    </w:p>
    <w:p w:rsidR="002B3506" w:rsidRDefault="002B3506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506" w:rsidRDefault="002B3506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concludere mostreremo le tre p</w:t>
      </w:r>
      <w:r w:rsidR="00AB4084" w:rsidRPr="0021498D">
        <w:rPr>
          <w:rFonts w:ascii="Times New Roman" w:eastAsia="Times New Roman" w:hAnsi="Times New Roman" w:cs="Times New Roman"/>
          <w:sz w:val="24"/>
          <w:szCs w:val="24"/>
        </w:rPr>
        <w:t>rove a favore dell</w:t>
      </w:r>
      <w:r>
        <w:rPr>
          <w:rFonts w:ascii="Times New Roman" w:eastAsia="Times New Roman" w:hAnsi="Times New Roman" w:cs="Times New Roman"/>
          <w:sz w:val="24"/>
          <w:szCs w:val="24"/>
        </w:rPr>
        <w:t>’Al</w:t>
      </w:r>
      <w:r w:rsidR="00AB4084" w:rsidRPr="0021498D">
        <w:rPr>
          <w:rFonts w:ascii="Times New Roman" w:eastAsia="Times New Roman" w:hAnsi="Times New Roman" w:cs="Times New Roman"/>
          <w:sz w:val="24"/>
          <w:szCs w:val="24"/>
        </w:rPr>
        <w:t xml:space="preserve">bo d’oro. </w:t>
      </w:r>
    </w:p>
    <w:p w:rsidR="00AB4084" w:rsidRPr="0021498D" w:rsidRDefault="002B3506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prima prova è rappresentata dalla differenza </w:t>
      </w:r>
      <w:r w:rsidR="0017175A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</w:rPr>
        <w:t>morti</w:t>
      </w:r>
      <w:r w:rsidR="0017175A">
        <w:rPr>
          <w:rFonts w:ascii="Times New Roman" w:eastAsia="Times New Roman" w:hAnsi="Times New Roman" w:cs="Times New Roman"/>
          <w:sz w:val="24"/>
          <w:szCs w:val="24"/>
        </w:rPr>
        <w:t xml:space="preserve"> a livello locale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75A"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l’Albo d’</w:t>
      </w:r>
      <w:r w:rsidR="0017175A">
        <w:rPr>
          <w:rFonts w:ascii="Times New Roman" w:eastAsia="Times New Roman" w:hAnsi="Times New Roman" w:cs="Times New Roman"/>
          <w:sz w:val="24"/>
          <w:szCs w:val="24"/>
        </w:rPr>
        <w:t xml:space="preserve">oro. </w:t>
      </w:r>
      <w:r>
        <w:rPr>
          <w:rFonts w:ascii="Times New Roman" w:eastAsia="Times New Roman" w:hAnsi="Times New Roman" w:cs="Times New Roman"/>
          <w:sz w:val="24"/>
          <w:szCs w:val="24"/>
        </w:rPr>
        <w:t>La seguente tabella ci indica che la differenza oscilla da lo 0 e il 14%:</w:t>
      </w:r>
      <w:r w:rsidR="00AB4084" w:rsidRPr="0021498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6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3557"/>
        <w:gridCol w:w="954"/>
        <w:gridCol w:w="1646"/>
        <w:gridCol w:w="1199"/>
        <w:gridCol w:w="1300"/>
      </w:tblGrid>
      <w:tr w:rsidR="00AB4084" w:rsidRPr="0021498D" w:rsidTr="002B3506">
        <w:trPr>
          <w:trHeight w:val="357"/>
        </w:trPr>
        <w:tc>
          <w:tcPr>
            <w:tcW w:w="21" w:type="dxa"/>
            <w:vAlign w:val="bottom"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Municipality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B350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B350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Albo d'oro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B350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Diff</w:t>
            </w:r>
            <w:proofErr w:type="spellEnd"/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. 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B350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Diff</w:t>
            </w:r>
            <w:proofErr w:type="spellEnd"/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. %</w:t>
            </w:r>
          </w:p>
        </w:tc>
      </w:tr>
      <w:tr w:rsidR="00AB4084" w:rsidRPr="0021498D" w:rsidTr="002B3506">
        <w:trPr>
          <w:trHeight w:val="341"/>
        </w:trPr>
        <w:tc>
          <w:tcPr>
            <w:tcW w:w="21" w:type="dxa"/>
            <w:vAlign w:val="bottom"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Align w:val="bottom"/>
            <w:hideMark/>
          </w:tcPr>
          <w:p w:rsidR="00AB4084" w:rsidRPr="0021498D" w:rsidRDefault="00AB4084" w:rsidP="0021498D">
            <w:pPr>
              <w:spacing w:line="321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Cumiana (TO)</w:t>
            </w:r>
          </w:p>
        </w:tc>
        <w:tc>
          <w:tcPr>
            <w:tcW w:w="954" w:type="dxa"/>
            <w:vAlign w:val="bottom"/>
            <w:hideMark/>
          </w:tcPr>
          <w:p w:rsidR="00AB4084" w:rsidRPr="0021498D" w:rsidRDefault="00AB4084" w:rsidP="0021498D">
            <w:pPr>
              <w:spacing w:line="321" w:lineRule="exact"/>
              <w:jc w:val="both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95</w:t>
            </w:r>
          </w:p>
        </w:tc>
        <w:tc>
          <w:tcPr>
            <w:tcW w:w="1646" w:type="dxa"/>
            <w:vAlign w:val="bottom"/>
            <w:hideMark/>
          </w:tcPr>
          <w:p w:rsidR="00AB4084" w:rsidRPr="0021498D" w:rsidRDefault="00AB4084" w:rsidP="0021498D">
            <w:pPr>
              <w:spacing w:line="3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9" w:type="dxa"/>
            <w:vAlign w:val="bottom"/>
            <w:hideMark/>
          </w:tcPr>
          <w:p w:rsidR="00AB4084" w:rsidRPr="0021498D" w:rsidRDefault="00AB4084" w:rsidP="0021498D">
            <w:pPr>
              <w:spacing w:line="3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vAlign w:val="bottom"/>
            <w:hideMark/>
          </w:tcPr>
          <w:p w:rsidR="00AB4084" w:rsidRPr="0021498D" w:rsidRDefault="00AB4084" w:rsidP="0021498D">
            <w:pPr>
              <w:spacing w:line="321" w:lineRule="exac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5.6</w:t>
            </w:r>
          </w:p>
        </w:tc>
      </w:tr>
      <w:tr w:rsidR="00AB4084" w:rsidRPr="0021498D" w:rsidTr="002B3506">
        <w:trPr>
          <w:trHeight w:val="357"/>
        </w:trPr>
        <w:tc>
          <w:tcPr>
            <w:tcW w:w="21" w:type="dxa"/>
            <w:vAlign w:val="bottom"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Bobbio Pellice (TO)</w:t>
            </w:r>
          </w:p>
        </w:tc>
        <w:tc>
          <w:tcPr>
            <w:tcW w:w="954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25</w:t>
            </w:r>
          </w:p>
        </w:tc>
        <w:tc>
          <w:tcPr>
            <w:tcW w:w="1646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9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0.0</w:t>
            </w:r>
          </w:p>
        </w:tc>
      </w:tr>
      <w:tr w:rsidR="00AB4084" w:rsidRPr="0021498D" w:rsidTr="002B3506">
        <w:trPr>
          <w:trHeight w:val="359"/>
        </w:trPr>
        <w:tc>
          <w:tcPr>
            <w:tcW w:w="21" w:type="dxa"/>
            <w:vAlign w:val="bottom"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Vigevano (PV)</w:t>
            </w:r>
          </w:p>
        </w:tc>
        <w:tc>
          <w:tcPr>
            <w:tcW w:w="954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646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99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19</w:t>
            </w:r>
          </w:p>
        </w:tc>
        <w:tc>
          <w:tcPr>
            <w:tcW w:w="1300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6.2</w:t>
            </w:r>
          </w:p>
        </w:tc>
      </w:tr>
      <w:tr w:rsidR="00AB4084" w:rsidRPr="0021498D" w:rsidTr="002B3506">
        <w:trPr>
          <w:trHeight w:val="357"/>
        </w:trPr>
        <w:tc>
          <w:tcPr>
            <w:tcW w:w="21" w:type="dxa"/>
            <w:vAlign w:val="bottom"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Collio (BS)</w:t>
            </w:r>
          </w:p>
        </w:tc>
        <w:tc>
          <w:tcPr>
            <w:tcW w:w="954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61</w:t>
            </w:r>
          </w:p>
        </w:tc>
        <w:tc>
          <w:tcPr>
            <w:tcW w:w="1646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9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8.9</w:t>
            </w:r>
          </w:p>
        </w:tc>
      </w:tr>
      <w:tr w:rsidR="00AB4084" w:rsidRPr="0021498D" w:rsidTr="002B3506">
        <w:trPr>
          <w:trHeight w:val="357"/>
        </w:trPr>
        <w:tc>
          <w:tcPr>
            <w:tcW w:w="21" w:type="dxa"/>
            <w:vAlign w:val="bottom"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Desenzano del Garda (BS)</w:t>
            </w:r>
          </w:p>
        </w:tc>
        <w:tc>
          <w:tcPr>
            <w:tcW w:w="954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46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9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18</w:t>
            </w:r>
          </w:p>
        </w:tc>
        <w:tc>
          <w:tcPr>
            <w:tcW w:w="1300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</w:tr>
      <w:tr w:rsidR="00AB4084" w:rsidRPr="0021498D" w:rsidTr="002B3506">
        <w:trPr>
          <w:trHeight w:val="359"/>
        </w:trPr>
        <w:tc>
          <w:tcPr>
            <w:tcW w:w="21" w:type="dxa"/>
            <w:vAlign w:val="bottom"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Limone sul Garda (BS)</w:t>
            </w:r>
          </w:p>
        </w:tc>
        <w:tc>
          <w:tcPr>
            <w:tcW w:w="954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14</w:t>
            </w:r>
          </w:p>
        </w:tc>
        <w:tc>
          <w:tcPr>
            <w:tcW w:w="1646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9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0.0</w:t>
            </w:r>
          </w:p>
        </w:tc>
      </w:tr>
      <w:tr w:rsidR="00AB4084" w:rsidRPr="0021498D" w:rsidTr="002B3506">
        <w:trPr>
          <w:trHeight w:val="357"/>
        </w:trPr>
        <w:tc>
          <w:tcPr>
            <w:tcW w:w="21" w:type="dxa"/>
            <w:vAlign w:val="bottom"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Salò (BS)</w:t>
            </w:r>
          </w:p>
        </w:tc>
        <w:tc>
          <w:tcPr>
            <w:tcW w:w="954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93</w:t>
            </w:r>
          </w:p>
        </w:tc>
        <w:tc>
          <w:tcPr>
            <w:tcW w:w="1646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9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3.3</w:t>
            </w:r>
          </w:p>
        </w:tc>
      </w:tr>
      <w:tr w:rsidR="00AB4084" w:rsidRPr="0021498D" w:rsidTr="002B3506">
        <w:trPr>
          <w:trHeight w:val="363"/>
        </w:trPr>
        <w:tc>
          <w:tcPr>
            <w:tcW w:w="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Toscolano-Maderno (BS)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</w:tr>
    </w:tbl>
    <w:p w:rsidR="00AB4084" w:rsidRPr="0021498D" w:rsidRDefault="00AB4084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75A" w:rsidRDefault="0017175A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75A" w:rsidRDefault="0017175A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75A" w:rsidRDefault="0017175A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084" w:rsidRDefault="0017175A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seconda prova a favore ci indica la differenza dei </w:t>
      </w:r>
      <w:r w:rsidR="00AB4084" w:rsidRPr="0021498D">
        <w:rPr>
          <w:rFonts w:ascii="Times New Roman" w:eastAsia="Times New Roman" w:hAnsi="Times New Roman" w:cs="Times New Roman"/>
          <w:sz w:val="24"/>
          <w:szCs w:val="24"/>
        </w:rPr>
        <w:t>capitani morti tra Albo d</w:t>
      </w:r>
      <w:r>
        <w:rPr>
          <w:rFonts w:ascii="Times New Roman" w:eastAsia="Times New Roman" w:hAnsi="Times New Roman" w:cs="Times New Roman"/>
          <w:sz w:val="24"/>
          <w:szCs w:val="24"/>
        </w:rPr>
        <w:t>’oro e diario dei corpi:</w:t>
      </w:r>
    </w:p>
    <w:p w:rsidR="0017175A" w:rsidRDefault="0017175A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75A" w:rsidRDefault="0017175A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75A" w:rsidRPr="0021498D" w:rsidRDefault="0017175A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4"/>
        <w:gridCol w:w="3625"/>
      </w:tblGrid>
      <w:tr w:rsidR="00AB4084" w:rsidRPr="0021498D" w:rsidTr="0017175A">
        <w:trPr>
          <w:trHeight w:val="271"/>
        </w:trPr>
        <w:tc>
          <w:tcPr>
            <w:tcW w:w="5644" w:type="dxa"/>
            <w:vAlign w:val="bottom"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right="5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Arial" w:hAnsi="Times New Roman" w:cs="Times New Roman"/>
                <w:sz w:val="24"/>
                <w:szCs w:val="24"/>
              </w:rPr>
              <w:t>N.</w:t>
            </w:r>
          </w:p>
        </w:tc>
      </w:tr>
      <w:tr w:rsidR="00AB4084" w:rsidRPr="0021498D" w:rsidTr="0017175A">
        <w:trPr>
          <w:trHeight w:val="283"/>
        </w:trPr>
        <w:tc>
          <w:tcPr>
            <w:tcW w:w="5644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Arial" w:hAnsi="Times New Roman" w:cs="Times New Roman"/>
                <w:sz w:val="24"/>
                <w:szCs w:val="24"/>
              </w:rPr>
              <w:t>Diari dei corpi</w:t>
            </w:r>
          </w:p>
        </w:tc>
        <w:tc>
          <w:tcPr>
            <w:tcW w:w="3625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right="20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Arial" w:hAnsi="Times New Roman" w:cs="Times New Roman"/>
                <w:sz w:val="24"/>
                <w:szCs w:val="24"/>
              </w:rPr>
              <w:t>1.186</w:t>
            </w:r>
          </w:p>
        </w:tc>
      </w:tr>
      <w:tr w:rsidR="00AB4084" w:rsidRPr="0021498D" w:rsidTr="0017175A">
        <w:trPr>
          <w:trHeight w:val="283"/>
        </w:trPr>
        <w:tc>
          <w:tcPr>
            <w:tcW w:w="5644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Arial" w:hAnsi="Times New Roman" w:cs="Times New Roman"/>
                <w:sz w:val="24"/>
                <w:szCs w:val="24"/>
              </w:rPr>
              <w:t>Albo d’oro</w:t>
            </w:r>
          </w:p>
        </w:tc>
        <w:tc>
          <w:tcPr>
            <w:tcW w:w="3625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right="20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Arial" w:hAnsi="Times New Roman" w:cs="Times New Roman"/>
                <w:sz w:val="24"/>
                <w:szCs w:val="24"/>
              </w:rPr>
              <w:t>1.154</w:t>
            </w:r>
          </w:p>
        </w:tc>
      </w:tr>
      <w:tr w:rsidR="00AB4084" w:rsidRPr="0021498D" w:rsidTr="0017175A">
        <w:trPr>
          <w:trHeight w:val="283"/>
        </w:trPr>
        <w:tc>
          <w:tcPr>
            <w:tcW w:w="5644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Arial" w:hAnsi="Times New Roman" w:cs="Times New Roman"/>
                <w:sz w:val="24"/>
                <w:szCs w:val="24"/>
              </w:rPr>
              <w:t>Differenza</w:t>
            </w:r>
          </w:p>
        </w:tc>
        <w:tc>
          <w:tcPr>
            <w:tcW w:w="3625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ind w:right="20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Arial" w:hAnsi="Times New Roman" w:cs="Times New Roman"/>
                <w:sz w:val="24"/>
                <w:szCs w:val="24"/>
              </w:rPr>
              <w:t>32</w:t>
            </w:r>
          </w:p>
        </w:tc>
      </w:tr>
      <w:tr w:rsidR="00AB4084" w:rsidRPr="0021498D" w:rsidTr="0017175A">
        <w:trPr>
          <w:trHeight w:val="283"/>
        </w:trPr>
        <w:tc>
          <w:tcPr>
            <w:tcW w:w="5644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25" w:type="dxa"/>
            <w:vAlign w:val="bottom"/>
            <w:hideMark/>
          </w:tcPr>
          <w:p w:rsidR="00AB4084" w:rsidRPr="0021498D" w:rsidRDefault="00AB4084" w:rsidP="0021498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498D">
              <w:rPr>
                <w:rFonts w:ascii="Times New Roman" w:eastAsia="Arial" w:hAnsi="Times New Roman" w:cs="Times New Roman"/>
                <w:sz w:val="24"/>
                <w:szCs w:val="24"/>
              </w:rPr>
              <w:t>2,8</w:t>
            </w:r>
          </w:p>
        </w:tc>
      </w:tr>
      <w:tr w:rsidR="00D366AD" w:rsidRPr="0021498D" w:rsidTr="0017175A">
        <w:trPr>
          <w:trHeight w:val="283"/>
        </w:trPr>
        <w:tc>
          <w:tcPr>
            <w:tcW w:w="5644" w:type="dxa"/>
            <w:vAlign w:val="bottom"/>
          </w:tcPr>
          <w:p w:rsidR="00D366AD" w:rsidRPr="0021498D" w:rsidRDefault="00D366AD" w:rsidP="0021498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Align w:val="bottom"/>
          </w:tcPr>
          <w:p w:rsidR="00D366AD" w:rsidRPr="0021498D" w:rsidRDefault="00D366AD" w:rsidP="0021498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17175A" w:rsidRPr="0021498D" w:rsidRDefault="0017175A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75A" w:rsidRDefault="0017175A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75A" w:rsidRDefault="0017175A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75A" w:rsidRDefault="0017175A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terza ed ultima prova a favore dell’Albo d’oro pone il c</w:t>
      </w:r>
      <w:r w:rsidR="00D366AD" w:rsidRPr="0021498D">
        <w:rPr>
          <w:rFonts w:ascii="Times New Roman" w:eastAsia="Times New Roman" w:hAnsi="Times New Roman" w:cs="Times New Roman"/>
          <w:sz w:val="24"/>
          <w:szCs w:val="24"/>
        </w:rPr>
        <w:t>ollegamento 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D366AD" w:rsidRPr="0021498D">
        <w:rPr>
          <w:rFonts w:ascii="Times New Roman" w:eastAsia="Times New Roman" w:hAnsi="Times New Roman" w:cs="Times New Roman"/>
          <w:sz w:val="24"/>
          <w:szCs w:val="24"/>
        </w:rPr>
        <w:t xml:space="preserve"> ruoli matricolari e </w:t>
      </w: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 w:rsidR="00D366AD" w:rsidRPr="0021498D">
        <w:rPr>
          <w:rFonts w:ascii="Times New Roman" w:eastAsia="Times New Roman" w:hAnsi="Times New Roman" w:cs="Times New Roman"/>
          <w:sz w:val="24"/>
          <w:szCs w:val="24"/>
        </w:rPr>
        <w:t>albo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’oro prendendo in considerazione i </w:t>
      </w:r>
      <w:r w:rsidR="00D366AD" w:rsidRPr="0021498D">
        <w:rPr>
          <w:rFonts w:ascii="Times New Roman" w:eastAsia="Times New Roman" w:hAnsi="Times New Roman" w:cs="Times New Roman"/>
          <w:sz w:val="24"/>
          <w:szCs w:val="24"/>
        </w:rPr>
        <w:t>morti per ferita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D366AD" w:rsidRPr="0021498D">
        <w:rPr>
          <w:rFonts w:ascii="Times New Roman" w:eastAsia="Times New Roman" w:hAnsi="Times New Roman" w:cs="Times New Roman"/>
          <w:sz w:val="24"/>
          <w:szCs w:val="24"/>
        </w:rPr>
        <w:t xml:space="preserve"> dispersi:</w:t>
      </w:r>
    </w:p>
    <w:p w:rsidR="0017175A" w:rsidRPr="0021498D" w:rsidRDefault="0017175A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6AD" w:rsidRPr="0021498D" w:rsidRDefault="00D366AD" w:rsidP="002149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2699"/>
        <w:gridCol w:w="1590"/>
        <w:gridCol w:w="1392"/>
        <w:gridCol w:w="1430"/>
        <w:gridCol w:w="1342"/>
      </w:tblGrid>
      <w:tr w:rsidR="0017175A" w:rsidRPr="0017175A" w:rsidTr="0017175A">
        <w:trPr>
          <w:trHeight w:val="103"/>
        </w:trPr>
        <w:tc>
          <w:tcPr>
            <w:tcW w:w="23" w:type="dxa"/>
            <w:vAlign w:val="bottom"/>
          </w:tcPr>
          <w:p w:rsidR="00D366AD" w:rsidRPr="0021498D" w:rsidRDefault="00D366AD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bottom"/>
          </w:tcPr>
          <w:p w:rsidR="00D366AD" w:rsidRPr="0017175A" w:rsidRDefault="00D366AD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vAlign w:val="bottom"/>
            <w:hideMark/>
          </w:tcPr>
          <w:p w:rsidR="00D366AD" w:rsidRPr="0017175A" w:rsidRDefault="00D366AD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5A">
              <w:rPr>
                <w:rFonts w:ascii="Times New Roman" w:eastAsia="Times New Roman" w:hAnsi="Times New Roman" w:cs="Times New Roman"/>
                <w:sz w:val="24"/>
                <w:szCs w:val="24"/>
              </w:rPr>
              <w:t>Ruoli</w:t>
            </w:r>
          </w:p>
        </w:tc>
        <w:tc>
          <w:tcPr>
            <w:tcW w:w="1392" w:type="dxa"/>
            <w:vAlign w:val="bottom"/>
            <w:hideMark/>
          </w:tcPr>
          <w:p w:rsidR="00D366AD" w:rsidRPr="0017175A" w:rsidRDefault="00D366AD" w:rsidP="0021498D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7175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Albo</w:t>
            </w:r>
          </w:p>
        </w:tc>
        <w:tc>
          <w:tcPr>
            <w:tcW w:w="1430" w:type="dxa"/>
            <w:vMerge w:val="restart"/>
            <w:vAlign w:val="bottom"/>
            <w:hideMark/>
          </w:tcPr>
          <w:p w:rsidR="00D366AD" w:rsidRPr="0017175A" w:rsidRDefault="00D366AD" w:rsidP="0017175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75A">
              <w:rPr>
                <w:rFonts w:ascii="Times New Roman" w:eastAsia="Times New Roman" w:hAnsi="Times New Roman" w:cs="Times New Roman"/>
                <w:sz w:val="24"/>
                <w:szCs w:val="24"/>
              </w:rPr>
              <w:t>Diff</w:t>
            </w:r>
            <w:proofErr w:type="spellEnd"/>
            <w:r w:rsidRPr="0017175A">
              <w:rPr>
                <w:rFonts w:ascii="Times New Roman" w:eastAsia="Times New Roman" w:hAnsi="Times New Roman" w:cs="Times New Roman"/>
                <w:sz w:val="24"/>
                <w:szCs w:val="24"/>
              </w:rPr>
              <w:t>. N.</w:t>
            </w:r>
          </w:p>
        </w:tc>
        <w:tc>
          <w:tcPr>
            <w:tcW w:w="1342" w:type="dxa"/>
            <w:vMerge w:val="restart"/>
            <w:vAlign w:val="bottom"/>
            <w:hideMark/>
          </w:tcPr>
          <w:p w:rsidR="00D366AD" w:rsidRPr="0017175A" w:rsidRDefault="00D366AD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75A">
              <w:rPr>
                <w:rFonts w:ascii="Times New Roman" w:eastAsia="Times New Roman" w:hAnsi="Times New Roman" w:cs="Times New Roman"/>
                <w:sz w:val="24"/>
                <w:szCs w:val="24"/>
              </w:rPr>
              <w:t>Diff</w:t>
            </w:r>
            <w:proofErr w:type="spellEnd"/>
            <w:r w:rsidRPr="0017175A">
              <w:rPr>
                <w:rFonts w:ascii="Times New Roman" w:eastAsia="Times New Roman" w:hAnsi="Times New Roman" w:cs="Times New Roman"/>
                <w:sz w:val="24"/>
                <w:szCs w:val="24"/>
              </w:rPr>
              <w:t>. %</w:t>
            </w:r>
          </w:p>
        </w:tc>
      </w:tr>
      <w:tr w:rsidR="0017175A" w:rsidRPr="0017175A" w:rsidTr="0017175A">
        <w:trPr>
          <w:trHeight w:val="50"/>
        </w:trPr>
        <w:tc>
          <w:tcPr>
            <w:tcW w:w="23" w:type="dxa"/>
            <w:vAlign w:val="bottom"/>
          </w:tcPr>
          <w:p w:rsidR="00D366AD" w:rsidRPr="0021498D" w:rsidRDefault="00D366AD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bottom"/>
          </w:tcPr>
          <w:p w:rsidR="00D366AD" w:rsidRPr="0017175A" w:rsidRDefault="00D366AD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D366AD" w:rsidRPr="0017175A" w:rsidRDefault="00D366AD" w:rsidP="00214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366AD" w:rsidRPr="0017175A" w:rsidRDefault="0017175A" w:rsidP="0017175A">
            <w:pPr>
              <w:spacing w:line="59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66AD" w:rsidRPr="0017175A">
              <w:rPr>
                <w:rFonts w:ascii="Times New Roman" w:eastAsia="Times New Roman" w:hAnsi="Times New Roman" w:cs="Times New Roman"/>
                <w:sz w:val="24"/>
                <w:szCs w:val="24"/>
              </w:rPr>
              <w:t>d’oro</w:t>
            </w:r>
          </w:p>
        </w:tc>
        <w:tc>
          <w:tcPr>
            <w:tcW w:w="1430" w:type="dxa"/>
            <w:vMerge/>
            <w:vAlign w:val="center"/>
            <w:hideMark/>
          </w:tcPr>
          <w:p w:rsidR="00D366AD" w:rsidRPr="0017175A" w:rsidRDefault="00D366AD" w:rsidP="00214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  <w:hideMark/>
          </w:tcPr>
          <w:p w:rsidR="00D366AD" w:rsidRPr="0017175A" w:rsidRDefault="00D366AD" w:rsidP="00214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75A" w:rsidRPr="0017175A" w:rsidTr="0017175A">
        <w:trPr>
          <w:trHeight w:val="52"/>
        </w:trPr>
        <w:tc>
          <w:tcPr>
            <w:tcW w:w="23" w:type="dxa"/>
            <w:vAlign w:val="bottom"/>
          </w:tcPr>
          <w:p w:rsidR="00D366AD" w:rsidRPr="0021498D" w:rsidRDefault="00D366AD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6AD" w:rsidRPr="0017175A" w:rsidRDefault="00D366AD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6AD" w:rsidRPr="0017175A" w:rsidRDefault="00D366AD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366AD" w:rsidRPr="0017175A" w:rsidRDefault="00D366AD" w:rsidP="00214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6AD" w:rsidRPr="0017175A" w:rsidRDefault="00D366AD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6AD" w:rsidRPr="0017175A" w:rsidRDefault="00D366AD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75A" w:rsidRPr="0017175A" w:rsidTr="0017175A">
        <w:trPr>
          <w:trHeight w:val="101"/>
        </w:trPr>
        <w:tc>
          <w:tcPr>
            <w:tcW w:w="23" w:type="dxa"/>
            <w:vAlign w:val="bottom"/>
          </w:tcPr>
          <w:p w:rsidR="00D366AD" w:rsidRPr="0021498D" w:rsidRDefault="00D366AD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bottom"/>
            <w:hideMark/>
          </w:tcPr>
          <w:p w:rsidR="00D366AD" w:rsidRPr="0017175A" w:rsidRDefault="00D366AD" w:rsidP="0021498D">
            <w:pPr>
              <w:spacing w:line="583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5A">
              <w:rPr>
                <w:rFonts w:ascii="Times New Roman" w:eastAsia="Times New Roman" w:hAnsi="Times New Roman" w:cs="Times New Roman"/>
                <w:sz w:val="24"/>
                <w:szCs w:val="24"/>
              </w:rPr>
              <w:t>Vicenza 1897-98</w:t>
            </w:r>
          </w:p>
        </w:tc>
        <w:tc>
          <w:tcPr>
            <w:tcW w:w="1590" w:type="dxa"/>
            <w:vAlign w:val="bottom"/>
            <w:hideMark/>
          </w:tcPr>
          <w:p w:rsidR="00D366AD" w:rsidRPr="0017175A" w:rsidRDefault="00D366AD" w:rsidP="0021498D">
            <w:pPr>
              <w:spacing w:line="583" w:lineRule="exac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7175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435</w:t>
            </w:r>
          </w:p>
        </w:tc>
        <w:tc>
          <w:tcPr>
            <w:tcW w:w="1392" w:type="dxa"/>
            <w:vAlign w:val="bottom"/>
            <w:hideMark/>
          </w:tcPr>
          <w:p w:rsidR="00D366AD" w:rsidRPr="0017175A" w:rsidRDefault="00D366AD" w:rsidP="0021498D">
            <w:pPr>
              <w:spacing w:line="583" w:lineRule="exact"/>
              <w:ind w:left="20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7175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404</w:t>
            </w:r>
          </w:p>
        </w:tc>
        <w:tc>
          <w:tcPr>
            <w:tcW w:w="1430" w:type="dxa"/>
            <w:vAlign w:val="bottom"/>
            <w:hideMark/>
          </w:tcPr>
          <w:p w:rsidR="00D366AD" w:rsidRPr="0017175A" w:rsidRDefault="00D366AD" w:rsidP="0021498D">
            <w:pPr>
              <w:spacing w:line="583" w:lineRule="exact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5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2" w:type="dxa"/>
            <w:vAlign w:val="bottom"/>
            <w:hideMark/>
          </w:tcPr>
          <w:p w:rsidR="00D366AD" w:rsidRPr="0017175A" w:rsidRDefault="00D366AD" w:rsidP="0021498D">
            <w:pPr>
              <w:spacing w:line="5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5A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</w:tr>
      <w:tr w:rsidR="0017175A" w:rsidRPr="0017175A" w:rsidTr="0017175A">
        <w:trPr>
          <w:trHeight w:val="104"/>
        </w:trPr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6AD" w:rsidRPr="0021498D" w:rsidRDefault="00D366AD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66AD" w:rsidRPr="0017175A" w:rsidRDefault="00D366AD" w:rsidP="0021498D">
            <w:pPr>
              <w:spacing w:line="59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5A">
              <w:rPr>
                <w:rFonts w:ascii="Times New Roman" w:eastAsia="Times New Roman" w:hAnsi="Times New Roman" w:cs="Times New Roman"/>
                <w:sz w:val="24"/>
                <w:szCs w:val="24"/>
              </w:rPr>
              <w:t>Sassari 1895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66AD" w:rsidRPr="0017175A" w:rsidRDefault="00D366AD" w:rsidP="0021498D">
            <w:pPr>
              <w:spacing w:line="596" w:lineRule="exac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7175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364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66AD" w:rsidRPr="0017175A" w:rsidRDefault="00D366AD" w:rsidP="0021498D">
            <w:pPr>
              <w:spacing w:line="596" w:lineRule="exact"/>
              <w:ind w:left="20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7175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355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66AD" w:rsidRPr="0017175A" w:rsidRDefault="00D366AD" w:rsidP="0021498D">
            <w:pPr>
              <w:spacing w:line="596" w:lineRule="exact"/>
              <w:ind w:righ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66AD" w:rsidRPr="0017175A" w:rsidRDefault="00D366AD" w:rsidP="0021498D">
            <w:pPr>
              <w:spacing w:line="59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75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17175A" w:rsidRPr="0017175A" w:rsidTr="0017175A">
        <w:trPr>
          <w:trHeight w:val="104"/>
        </w:trPr>
        <w:tc>
          <w:tcPr>
            <w:tcW w:w="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175A" w:rsidRPr="0021498D" w:rsidRDefault="0017175A" w:rsidP="002149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175A" w:rsidRPr="0017175A" w:rsidRDefault="0017175A" w:rsidP="0017175A">
            <w:pPr>
              <w:spacing w:line="59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175A" w:rsidRPr="0017175A" w:rsidRDefault="0017175A" w:rsidP="0021498D">
            <w:pPr>
              <w:spacing w:line="596" w:lineRule="exac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175A" w:rsidRPr="0017175A" w:rsidRDefault="0017175A" w:rsidP="0021498D">
            <w:pPr>
              <w:spacing w:line="596" w:lineRule="exact"/>
              <w:ind w:left="20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175A" w:rsidRPr="0017175A" w:rsidRDefault="0017175A" w:rsidP="0021498D">
            <w:pPr>
              <w:spacing w:line="596" w:lineRule="exact"/>
              <w:ind w:righ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175A" w:rsidRPr="0017175A" w:rsidRDefault="0017175A" w:rsidP="0021498D">
            <w:pPr>
              <w:spacing w:line="59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44DF" w:rsidRPr="0021498D" w:rsidRDefault="009844DF" w:rsidP="001717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44DF" w:rsidRPr="0021498D" w:rsidSect="0021498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7D"/>
    <w:rsid w:val="000E247C"/>
    <w:rsid w:val="0017175A"/>
    <w:rsid w:val="0021498D"/>
    <w:rsid w:val="002B3401"/>
    <w:rsid w:val="002B3506"/>
    <w:rsid w:val="002F50C5"/>
    <w:rsid w:val="00337DD4"/>
    <w:rsid w:val="00355AC5"/>
    <w:rsid w:val="006C5DD1"/>
    <w:rsid w:val="007C360C"/>
    <w:rsid w:val="0080072A"/>
    <w:rsid w:val="008975A6"/>
    <w:rsid w:val="00933DB7"/>
    <w:rsid w:val="009751B0"/>
    <w:rsid w:val="009844DF"/>
    <w:rsid w:val="00AB4084"/>
    <w:rsid w:val="00AF040F"/>
    <w:rsid w:val="00D366AD"/>
    <w:rsid w:val="00D43102"/>
    <w:rsid w:val="00D92D7F"/>
    <w:rsid w:val="00F1202A"/>
    <w:rsid w:val="00F62A7D"/>
    <w:rsid w:val="00FC033A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C8D8"/>
  <w15:chartTrackingRefBased/>
  <w15:docId w15:val="{AF4BAB5C-093F-49A8-B4A3-A7159142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072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975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975A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A5AD5-14C9-4A4B-8846-DBC51873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Vanny Piccoli</dc:creator>
  <cp:keywords/>
  <dc:description/>
  <cp:lastModifiedBy>Vanny Piccoli</cp:lastModifiedBy>
  <cp:revision>17</cp:revision>
  <dcterms:created xsi:type="dcterms:W3CDTF">2019-06-18T09:04:00Z</dcterms:created>
  <dcterms:modified xsi:type="dcterms:W3CDTF">2019-07-22T07:23:00Z</dcterms:modified>
</cp:coreProperties>
</file>