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53" w:rsidRDefault="00883A53" w:rsidP="00883A53">
      <w:pPr>
        <w:jc w:val="both"/>
        <w:rPr>
          <w:rFonts w:cstheme="minorHAnsi"/>
        </w:rPr>
      </w:pPr>
    </w:p>
    <w:p w:rsidR="00883A53" w:rsidRPr="00883A53" w:rsidRDefault="00883A53" w:rsidP="00151280">
      <w:pPr>
        <w:jc w:val="both"/>
        <w:rPr>
          <w:rFonts w:cstheme="minorHAnsi"/>
        </w:rPr>
      </w:pPr>
      <w:r w:rsidRPr="00942A4A">
        <w:rPr>
          <w:rFonts w:cstheme="minorHAnsi"/>
        </w:rPr>
        <w:t xml:space="preserve">La seguente relazione fa riferimento alla Bottega del Sapere tenutasi mercoledì 29 maggio 2019 presso l’esercizio commerciale </w:t>
      </w:r>
      <w:proofErr w:type="spellStart"/>
      <w:r w:rsidRPr="00942A4A">
        <w:rPr>
          <w:rFonts w:cstheme="minorHAnsi"/>
        </w:rPr>
        <w:t>Lino’s</w:t>
      </w:r>
      <w:proofErr w:type="spellEnd"/>
      <w:r w:rsidRPr="00942A4A">
        <w:rPr>
          <w:rFonts w:cstheme="minorHAnsi"/>
        </w:rPr>
        <w:t xml:space="preserve"> &amp; Co, uno spazio di co-design e di co-</w:t>
      </w:r>
      <w:proofErr w:type="spellStart"/>
      <w:r w:rsidRPr="00942A4A">
        <w:rPr>
          <w:rFonts w:cstheme="minorHAnsi"/>
        </w:rPr>
        <w:t>working</w:t>
      </w:r>
      <w:proofErr w:type="spellEnd"/>
      <w:r w:rsidRPr="00942A4A">
        <w:rPr>
          <w:rFonts w:cstheme="minorHAnsi"/>
        </w:rPr>
        <w:t>; un laboratorio e uno spazio per eventi, workshop, ricerca, innovazione e formazione. I docenti coinvolti, Clara Graziano e Stefano Comino, appartengono al Dipartimento di Scienze Economiche e Statistiche dell’Università degli Studi di Udine e hanno sostenuto un incontro con la popolazione, trattando il seguente il tema: “Brevetti, Copyright e Concorrenza: Vecchi Problemi, Nuove Soluzioni?”</w:t>
      </w:r>
      <w:bookmarkStart w:id="0" w:name="_GoBack"/>
      <w:bookmarkEnd w:id="0"/>
    </w:p>
    <w:p w:rsidR="00883A53" w:rsidRDefault="00883A53" w:rsidP="00151280">
      <w:pPr>
        <w:jc w:val="both"/>
        <w:rPr>
          <w:b/>
        </w:rPr>
      </w:pPr>
    </w:p>
    <w:p w:rsidR="007C194D" w:rsidRPr="007C194D" w:rsidRDefault="007C194D" w:rsidP="00151280">
      <w:pPr>
        <w:jc w:val="both"/>
        <w:rPr>
          <w:b/>
        </w:rPr>
      </w:pPr>
      <w:r w:rsidRPr="007C194D">
        <w:rPr>
          <w:b/>
        </w:rPr>
        <w:t>Brevetti, Copyright e Concorrenza: Vecchi Problemi, Nuove Soluzioni?</w:t>
      </w:r>
    </w:p>
    <w:p w:rsidR="007C194D" w:rsidRDefault="007C194D" w:rsidP="00151280">
      <w:pPr>
        <w:jc w:val="both"/>
      </w:pPr>
    </w:p>
    <w:p w:rsidR="007C194D" w:rsidRDefault="007C194D" w:rsidP="00151280">
      <w:pPr>
        <w:jc w:val="both"/>
      </w:pPr>
      <w:r>
        <w:t>Stefano Comino, Università di Udine, DIES</w:t>
      </w:r>
    </w:p>
    <w:p w:rsidR="007C194D" w:rsidRDefault="007C194D" w:rsidP="00151280">
      <w:pPr>
        <w:jc w:val="both"/>
        <w:rPr>
          <w:lang w:val="en-US"/>
        </w:rPr>
      </w:pPr>
      <w:r w:rsidRPr="007C194D">
        <w:rPr>
          <w:lang w:val="en-US"/>
        </w:rPr>
        <w:t xml:space="preserve">Alberto Galasso, University of Toronto, </w:t>
      </w:r>
      <w:proofErr w:type="spellStart"/>
      <w:r w:rsidRPr="007C194D">
        <w:rPr>
          <w:lang w:val="en-US"/>
        </w:rPr>
        <w:t>Rotman</w:t>
      </w:r>
      <w:proofErr w:type="spellEnd"/>
      <w:r w:rsidRPr="007C194D">
        <w:rPr>
          <w:lang w:val="en-US"/>
        </w:rPr>
        <w:t xml:space="preserve"> School</w:t>
      </w:r>
      <w:r>
        <w:rPr>
          <w:lang w:val="en-US"/>
        </w:rPr>
        <w:t xml:space="preserve"> of Management</w:t>
      </w:r>
    </w:p>
    <w:p w:rsidR="007C194D" w:rsidRPr="007C194D" w:rsidRDefault="007C194D" w:rsidP="00151280">
      <w:pPr>
        <w:jc w:val="both"/>
      </w:pPr>
      <w:r w:rsidRPr="007C194D">
        <w:t>Clara Graziano, Università di Udine</w:t>
      </w:r>
      <w:r>
        <w:t>, DIES</w:t>
      </w:r>
    </w:p>
    <w:p w:rsidR="007C194D" w:rsidRDefault="007C194D" w:rsidP="00151280">
      <w:pPr>
        <w:jc w:val="both"/>
      </w:pPr>
    </w:p>
    <w:p w:rsidR="00477C94" w:rsidRDefault="00477C94" w:rsidP="00151280">
      <w:pPr>
        <w:jc w:val="both"/>
        <w:rPr>
          <w:shd w:val="clear" w:color="auto" w:fill="FFFFFF"/>
        </w:rPr>
      </w:pPr>
      <w:r>
        <w:t xml:space="preserve">La Repubblica di Venezia rinascimentale ha un ruolo di primo piano nel contesto della legislazione </w:t>
      </w:r>
      <w:r w:rsidR="009100DB">
        <w:t>sulla</w:t>
      </w:r>
      <w:r>
        <w:t xml:space="preserve"> proprietà intellettuale. Con la legge del 1474 il Senato della Repubblica infatti istituisce, per la prima volta a livello internazionale, un sistema brevettuale</w:t>
      </w:r>
      <w:r w:rsidR="00DE7841">
        <w:t xml:space="preserve"> con</w:t>
      </w:r>
      <w:r>
        <w:t xml:space="preserve"> caratteristiche sorprendentemente simili alle odierne legislazioni</w:t>
      </w:r>
      <w:r w:rsidR="007C194D">
        <w:t xml:space="preserve"> in materia</w:t>
      </w:r>
      <w:r>
        <w:t xml:space="preserve">. Le analogie tra la legge veneziana e la moderna normativa brevettuale sono talmente forti che </w:t>
      </w:r>
      <w:r w:rsidR="00DE7841">
        <w:t xml:space="preserve">lo studioso di legge, ed esperto in proprietà intellettuale, </w:t>
      </w:r>
      <w:r>
        <w:t xml:space="preserve">Craig </w:t>
      </w:r>
      <w:proofErr w:type="spellStart"/>
      <w:r>
        <w:t>Nard</w:t>
      </w:r>
      <w:proofErr w:type="spellEnd"/>
      <w:r w:rsidR="008732D2">
        <w:t>,</w:t>
      </w:r>
      <w:r>
        <w:t xml:space="preserve"> si è spinto a dire che “</w:t>
      </w:r>
      <w:proofErr w:type="spellStart"/>
      <w:r w:rsidRPr="00523739">
        <w:rPr>
          <w:i/>
          <w:iCs/>
        </w:rPr>
        <w:t>All</w:t>
      </w:r>
      <w:proofErr w:type="spellEnd"/>
      <w:r w:rsidRPr="00523739">
        <w:rPr>
          <w:i/>
          <w:iCs/>
        </w:rPr>
        <w:t xml:space="preserve"> </w:t>
      </w:r>
      <w:proofErr w:type="spellStart"/>
      <w:r w:rsidRPr="00523739">
        <w:rPr>
          <w:i/>
          <w:iCs/>
        </w:rPr>
        <w:t>modern</w:t>
      </w:r>
      <w:proofErr w:type="spellEnd"/>
      <w:r w:rsidRPr="00523739">
        <w:rPr>
          <w:i/>
          <w:iCs/>
        </w:rPr>
        <w:t xml:space="preserve"> </w:t>
      </w:r>
      <w:proofErr w:type="spellStart"/>
      <w:r w:rsidRPr="00523739">
        <w:rPr>
          <w:i/>
          <w:iCs/>
        </w:rPr>
        <w:t>patent</w:t>
      </w:r>
      <w:proofErr w:type="spellEnd"/>
      <w:r w:rsidRPr="00523739">
        <w:rPr>
          <w:i/>
          <w:iCs/>
        </w:rPr>
        <w:t xml:space="preserve"> </w:t>
      </w:r>
      <w:proofErr w:type="spellStart"/>
      <w:r w:rsidRPr="00523739">
        <w:rPr>
          <w:i/>
          <w:iCs/>
        </w:rPr>
        <w:t>regimes</w:t>
      </w:r>
      <w:proofErr w:type="spellEnd"/>
      <w:r w:rsidRPr="00523739">
        <w:rPr>
          <w:i/>
          <w:iCs/>
        </w:rPr>
        <w:t xml:space="preserve"> </w:t>
      </w:r>
      <w:proofErr w:type="spellStart"/>
      <w:r w:rsidRPr="00523739">
        <w:rPr>
          <w:i/>
          <w:iCs/>
        </w:rPr>
        <w:t>consist</w:t>
      </w:r>
      <w:proofErr w:type="spellEnd"/>
      <w:r w:rsidRPr="00523739">
        <w:rPr>
          <w:i/>
          <w:iCs/>
        </w:rPr>
        <w:t xml:space="preserve"> of a </w:t>
      </w:r>
      <w:proofErr w:type="spellStart"/>
      <w:r w:rsidRPr="00523739">
        <w:rPr>
          <w:i/>
          <w:iCs/>
        </w:rPr>
        <w:t>series</w:t>
      </w:r>
      <w:proofErr w:type="spellEnd"/>
      <w:r w:rsidRPr="00523739">
        <w:rPr>
          <w:i/>
          <w:iCs/>
        </w:rPr>
        <w:t xml:space="preserve"> of </w:t>
      </w:r>
      <w:proofErr w:type="spellStart"/>
      <w:r w:rsidRPr="00523739">
        <w:rPr>
          <w:i/>
          <w:iCs/>
        </w:rPr>
        <w:t>footnotes</w:t>
      </w:r>
      <w:proofErr w:type="spellEnd"/>
      <w:r w:rsidRPr="00523739">
        <w:rPr>
          <w:i/>
          <w:iCs/>
        </w:rPr>
        <w:t xml:space="preserve"> to the </w:t>
      </w:r>
      <w:proofErr w:type="spellStart"/>
      <w:r w:rsidRPr="00523739">
        <w:rPr>
          <w:i/>
          <w:iCs/>
        </w:rPr>
        <w:t>Venetian</w:t>
      </w:r>
      <w:proofErr w:type="spellEnd"/>
      <w:r w:rsidRPr="00523739">
        <w:rPr>
          <w:i/>
          <w:iCs/>
        </w:rPr>
        <w:t xml:space="preserve"> </w:t>
      </w:r>
      <w:proofErr w:type="spellStart"/>
      <w:r w:rsidRPr="00523739">
        <w:rPr>
          <w:i/>
          <w:iCs/>
        </w:rPr>
        <w:t>patent</w:t>
      </w:r>
      <w:proofErr w:type="spellEnd"/>
      <w:r w:rsidRPr="00523739">
        <w:rPr>
          <w:i/>
          <w:iCs/>
        </w:rPr>
        <w:t xml:space="preserve"> </w:t>
      </w:r>
      <w:proofErr w:type="spellStart"/>
      <w:r w:rsidRPr="00523739">
        <w:rPr>
          <w:i/>
          <w:iCs/>
        </w:rPr>
        <w:t>statute</w:t>
      </w:r>
      <w:proofErr w:type="spellEnd"/>
      <w:r w:rsidRPr="00523739">
        <w:rPr>
          <w:i/>
          <w:iCs/>
        </w:rPr>
        <w:t xml:space="preserve"> of 1474</w:t>
      </w:r>
      <w:r>
        <w:rPr>
          <w:shd w:val="clear" w:color="auto" w:fill="FFFFFF"/>
        </w:rPr>
        <w:t xml:space="preserve">”. </w:t>
      </w:r>
      <w:r w:rsidR="008732D2">
        <w:rPr>
          <w:shd w:val="clear" w:color="auto" w:fill="FFFFFF"/>
        </w:rPr>
        <w:t>Tuttavia,</w:t>
      </w:r>
      <w:r w:rsidR="00DE7841">
        <w:rPr>
          <w:shd w:val="clear" w:color="auto" w:fill="FFFFFF"/>
        </w:rPr>
        <w:t xml:space="preserve"> </w:t>
      </w:r>
      <w:r w:rsidR="008732D2">
        <w:rPr>
          <w:shd w:val="clear" w:color="auto" w:fill="FFFFFF"/>
        </w:rPr>
        <w:t>ciò che vede la luce a Venezia, non è solamente</w:t>
      </w:r>
      <w:r w:rsidR="00DE7841">
        <w:rPr>
          <w:shd w:val="clear" w:color="auto" w:fill="FFFFFF"/>
        </w:rPr>
        <w:t xml:space="preserve"> il sist</w:t>
      </w:r>
      <w:r w:rsidR="008732D2">
        <w:rPr>
          <w:shd w:val="clear" w:color="auto" w:fill="FFFFFF"/>
        </w:rPr>
        <w:t>ema brevettuale</w:t>
      </w:r>
      <w:r w:rsidR="00DE7841">
        <w:rPr>
          <w:shd w:val="clear" w:color="auto" w:fill="FFFFFF"/>
        </w:rPr>
        <w:t>. La legge del 1545, s</w:t>
      </w:r>
      <w:r>
        <w:rPr>
          <w:shd w:val="clear" w:color="auto" w:fill="FFFFFF"/>
        </w:rPr>
        <w:t>econdo molti osservatori,</w:t>
      </w:r>
      <w:r w:rsidR="00DE7841">
        <w:rPr>
          <w:shd w:val="clear" w:color="auto" w:fill="FFFFFF"/>
        </w:rPr>
        <w:t xml:space="preserve"> getta le basi per il diritto d’autore. La legge infatti stabilisce che editori, stampatori e tipografi dovessero ottenere il consenso dell’autore prima di</w:t>
      </w:r>
      <w:r w:rsidR="007C194D">
        <w:rPr>
          <w:shd w:val="clear" w:color="auto" w:fill="FFFFFF"/>
        </w:rPr>
        <w:t xml:space="preserve"> poter</w:t>
      </w:r>
      <w:r w:rsidR="00DE7841">
        <w:rPr>
          <w:shd w:val="clear" w:color="auto" w:fill="FFFFFF"/>
        </w:rPr>
        <w:t xml:space="preserve"> procedere alla stampa di un’opera.</w:t>
      </w:r>
    </w:p>
    <w:p w:rsidR="00151280" w:rsidRDefault="00151280" w:rsidP="00151280">
      <w:pPr>
        <w:jc w:val="both"/>
        <w:rPr>
          <w:shd w:val="clear" w:color="auto" w:fill="FFFFFF"/>
        </w:rPr>
      </w:pPr>
    </w:p>
    <w:p w:rsidR="00477C94" w:rsidRDefault="00477C94" w:rsidP="00151280">
      <w:pPr>
        <w:jc w:val="both"/>
        <w:rPr>
          <w:shd w:val="clear" w:color="auto" w:fill="FFFFFF"/>
        </w:rPr>
      </w:pPr>
      <w:r>
        <w:rPr>
          <w:shd w:val="clear" w:color="auto" w:fill="FFFFFF"/>
        </w:rPr>
        <w:t>Questi due provvedimenti legislativi rappresentano delle importa</w:t>
      </w:r>
      <w:r w:rsidR="00151280">
        <w:rPr>
          <w:shd w:val="clear" w:color="auto" w:fill="FFFFFF"/>
        </w:rPr>
        <w:t>n</w:t>
      </w:r>
      <w:r>
        <w:rPr>
          <w:shd w:val="clear" w:color="auto" w:fill="FFFFFF"/>
        </w:rPr>
        <w:t xml:space="preserve">ti discontinuità giuridiche e </w:t>
      </w:r>
      <w:r w:rsidR="001F4F96">
        <w:rPr>
          <w:shd w:val="clear" w:color="auto" w:fill="FFFFFF"/>
        </w:rPr>
        <w:t>costituiscono</w:t>
      </w:r>
      <w:r>
        <w:rPr>
          <w:shd w:val="clear" w:color="auto" w:fill="FFFFFF"/>
        </w:rPr>
        <w:t xml:space="preserve"> </w:t>
      </w:r>
      <w:r w:rsidR="001F4F96">
        <w:rPr>
          <w:shd w:val="clear" w:color="auto" w:fill="FFFFFF"/>
        </w:rPr>
        <w:t xml:space="preserve">un </w:t>
      </w:r>
      <w:r>
        <w:rPr>
          <w:shd w:val="clear" w:color="auto" w:fill="FFFFFF"/>
        </w:rPr>
        <w:t xml:space="preserve">esperimento ideale per studiare </w:t>
      </w:r>
      <w:r w:rsidR="00666B4C">
        <w:rPr>
          <w:shd w:val="clear" w:color="auto" w:fill="FFFFFF"/>
        </w:rPr>
        <w:t xml:space="preserve">gli </w:t>
      </w:r>
      <w:r>
        <w:rPr>
          <w:shd w:val="clear" w:color="auto" w:fill="FFFFFF"/>
        </w:rPr>
        <w:t>effetti e</w:t>
      </w:r>
      <w:r w:rsidR="00666B4C">
        <w:rPr>
          <w:shd w:val="clear" w:color="auto" w:fill="FFFFFF"/>
        </w:rPr>
        <w:t>d i</w:t>
      </w:r>
      <w:r>
        <w:rPr>
          <w:shd w:val="clear" w:color="auto" w:fill="FFFFFF"/>
        </w:rPr>
        <w:t xml:space="preserve"> contesti in cui queste legislazioni si </w:t>
      </w:r>
      <w:r w:rsidR="00666B4C">
        <w:rPr>
          <w:shd w:val="clear" w:color="auto" w:fill="FFFFFF"/>
        </w:rPr>
        <w:t>sono innestate</w:t>
      </w:r>
      <w:r w:rsidR="00151280">
        <w:rPr>
          <w:shd w:val="clear" w:color="auto" w:fill="FFFFFF"/>
        </w:rPr>
        <w:t>. Il nost</w:t>
      </w:r>
      <w:r w:rsidR="00666B4C">
        <w:rPr>
          <w:shd w:val="clear" w:color="auto" w:fill="FFFFFF"/>
        </w:rPr>
        <w:t>ro gruppo di ricerca si propone per lo studio degli</w:t>
      </w:r>
      <w:r w:rsidR="00151280">
        <w:rPr>
          <w:shd w:val="clear" w:color="auto" w:fill="FFFFFF"/>
        </w:rPr>
        <w:t xml:space="preserve"> aspetti </w:t>
      </w:r>
      <w:r w:rsidR="007C194D">
        <w:rPr>
          <w:shd w:val="clear" w:color="auto" w:fill="FFFFFF"/>
        </w:rPr>
        <w:t>di stretta attualità</w:t>
      </w:r>
      <w:r w:rsidR="00151280">
        <w:rPr>
          <w:shd w:val="clear" w:color="auto" w:fill="FFFFFF"/>
        </w:rPr>
        <w:t xml:space="preserve"> legati alla proprietà intellettuale</w:t>
      </w:r>
      <w:r w:rsidR="00666B4C">
        <w:rPr>
          <w:shd w:val="clear" w:color="auto" w:fill="FFFFFF"/>
        </w:rPr>
        <w:t>,</w:t>
      </w:r>
      <w:r w:rsidR="00151280">
        <w:rPr>
          <w:shd w:val="clear" w:color="auto" w:fill="FFFFFF"/>
        </w:rPr>
        <w:t xml:space="preserve"> utilizzando dati </w:t>
      </w:r>
      <w:r w:rsidR="007C194D">
        <w:rPr>
          <w:shd w:val="clear" w:color="auto" w:fill="FFFFFF"/>
        </w:rPr>
        <w:t>storici</w:t>
      </w:r>
      <w:r w:rsidR="00151280">
        <w:rPr>
          <w:shd w:val="clear" w:color="auto" w:fill="FFFFFF"/>
        </w:rPr>
        <w:t xml:space="preserve">. Le </w:t>
      </w:r>
      <w:r w:rsidR="00666B4C">
        <w:rPr>
          <w:shd w:val="clear" w:color="auto" w:fill="FFFFFF"/>
        </w:rPr>
        <w:t xml:space="preserve">due </w:t>
      </w:r>
      <w:r w:rsidR="00151280">
        <w:rPr>
          <w:shd w:val="clear" w:color="auto" w:fill="FFFFFF"/>
        </w:rPr>
        <w:t>ricerche, una ad uno stadio avanzato</w:t>
      </w:r>
      <w:r w:rsidR="00666B4C">
        <w:rPr>
          <w:shd w:val="clear" w:color="auto" w:fill="FFFFFF"/>
        </w:rPr>
        <w:t>, l’altra ancora in</w:t>
      </w:r>
      <w:r w:rsidR="00151280">
        <w:rPr>
          <w:shd w:val="clear" w:color="auto" w:fill="FFFFFF"/>
        </w:rPr>
        <w:t xml:space="preserve"> fase preliminare, s</w:t>
      </w:r>
      <w:r w:rsidR="004844B3">
        <w:rPr>
          <w:shd w:val="clear" w:color="auto" w:fill="FFFFFF"/>
        </w:rPr>
        <w:t>i focalizzano sui due provvedimenti legislativi veneziani.</w:t>
      </w:r>
    </w:p>
    <w:p w:rsidR="004844B3" w:rsidRDefault="004844B3" w:rsidP="00151280">
      <w:pPr>
        <w:jc w:val="both"/>
        <w:rPr>
          <w:shd w:val="clear" w:color="auto" w:fill="FFFFFF"/>
        </w:rPr>
      </w:pPr>
    </w:p>
    <w:p w:rsidR="004844B3" w:rsidRDefault="004844B3" w:rsidP="00151280">
      <w:pPr>
        <w:jc w:val="both"/>
        <w:rPr>
          <w:shd w:val="clear" w:color="auto" w:fill="FFFFFF"/>
        </w:rPr>
      </w:pPr>
      <w:r>
        <w:rPr>
          <w:shd w:val="clear" w:color="auto" w:fill="FFFFFF"/>
        </w:rPr>
        <w:t>La prima ricerca analizza la legge del 1474 e, nello specifico, studia la relazione tra corporazioni veneziane e brevetti.</w:t>
      </w:r>
      <w:r w:rsidR="003D2B7E">
        <w:rPr>
          <w:rStyle w:val="Rimandonotaapidipagina"/>
          <w:shd w:val="clear" w:color="auto" w:fill="FFFFFF"/>
        </w:rPr>
        <w:footnoteReference w:id="1"/>
      </w:r>
      <w:r>
        <w:rPr>
          <w:shd w:val="clear" w:color="auto" w:fill="FFFFFF"/>
        </w:rPr>
        <w:t xml:space="preserve"> Utilizzando dati relativi ai brevetti concessi dal Senato veneziano e informazioni sulle corporazioni attive a Venezia e nell</w:t>
      </w:r>
      <w:r w:rsidR="007C194D">
        <w:rPr>
          <w:shd w:val="clear" w:color="auto" w:fill="FFFFFF"/>
        </w:rPr>
        <w:t>e</w:t>
      </w:r>
      <w:r>
        <w:rPr>
          <w:shd w:val="clear" w:color="auto" w:fill="FFFFFF"/>
        </w:rPr>
        <w:t xml:space="preserve"> altre città della Serenissima</w:t>
      </w:r>
      <w:r w:rsidR="00666B4C">
        <w:rPr>
          <w:shd w:val="clear" w:color="auto" w:fill="FFFFFF"/>
        </w:rPr>
        <w:t>,</w:t>
      </w:r>
      <w:r>
        <w:rPr>
          <w:shd w:val="clear" w:color="auto" w:fill="FFFFFF"/>
        </w:rPr>
        <w:t xml:space="preserve"> si individuano i seguenti principali risultati:</w:t>
      </w:r>
    </w:p>
    <w:p w:rsidR="00CB76A5" w:rsidRDefault="00CB76A5" w:rsidP="00151280">
      <w:pPr>
        <w:jc w:val="both"/>
        <w:rPr>
          <w:shd w:val="clear" w:color="auto" w:fill="FFFFFF"/>
        </w:rPr>
      </w:pPr>
    </w:p>
    <w:p w:rsidR="00CB76A5" w:rsidRDefault="004844B3" w:rsidP="00151280">
      <w:pPr>
        <w:pStyle w:val="Paragrafoelenco"/>
        <w:numPr>
          <w:ilvl w:val="0"/>
          <w:numId w:val="1"/>
        </w:numPr>
        <w:jc w:val="both"/>
        <w:rPr>
          <w:shd w:val="clear" w:color="auto" w:fill="FFFFFF"/>
        </w:rPr>
      </w:pPr>
      <w:r w:rsidRPr="00CB76A5">
        <w:rPr>
          <w:shd w:val="clear" w:color="auto" w:fill="FFFFFF"/>
        </w:rPr>
        <w:t>vi è una forte eterogeneità nella propensione a brevettare da parte dell</w:t>
      </w:r>
      <w:r w:rsidR="007C194D" w:rsidRPr="00CB76A5">
        <w:rPr>
          <w:shd w:val="clear" w:color="auto" w:fill="FFFFFF"/>
        </w:rPr>
        <w:t>a</w:t>
      </w:r>
      <w:r w:rsidRPr="00CB76A5">
        <w:rPr>
          <w:shd w:val="clear" w:color="auto" w:fill="FFFFFF"/>
        </w:rPr>
        <w:t xml:space="preserve"> corporazione. Questo risultato conferma quanto trovato da numerosi autori </w:t>
      </w:r>
      <w:r w:rsidR="00666B4C">
        <w:rPr>
          <w:shd w:val="clear" w:color="auto" w:fill="FFFFFF"/>
        </w:rPr>
        <w:t>per quanto riguarda i</w:t>
      </w:r>
      <w:r w:rsidRPr="00CB76A5">
        <w:rPr>
          <w:shd w:val="clear" w:color="auto" w:fill="FFFFFF"/>
        </w:rPr>
        <w:t xml:space="preserve"> dati moderni che evidenziano</w:t>
      </w:r>
      <w:r w:rsidR="007C194D" w:rsidRPr="00CB76A5">
        <w:rPr>
          <w:shd w:val="clear" w:color="auto" w:fill="FFFFFF"/>
        </w:rPr>
        <w:t xml:space="preserve"> come</w:t>
      </w:r>
      <w:r w:rsidRPr="00CB76A5">
        <w:rPr>
          <w:shd w:val="clear" w:color="auto" w:fill="FFFFFF"/>
        </w:rPr>
        <w:t xml:space="preserve"> l’efficacia dei brevetti </w:t>
      </w:r>
      <w:r w:rsidR="007C194D" w:rsidRPr="00CB76A5">
        <w:rPr>
          <w:shd w:val="clear" w:color="auto" w:fill="FFFFFF"/>
        </w:rPr>
        <w:t xml:space="preserve">vari molto da impresa </w:t>
      </w:r>
      <w:proofErr w:type="spellStart"/>
      <w:r w:rsidR="007C194D" w:rsidRPr="00CB76A5">
        <w:rPr>
          <w:shd w:val="clear" w:color="auto" w:fill="FFFFFF"/>
        </w:rPr>
        <w:t>ad</w:t>
      </w:r>
      <w:proofErr w:type="spellEnd"/>
      <w:r w:rsidR="007C194D" w:rsidRPr="00CB76A5">
        <w:rPr>
          <w:shd w:val="clear" w:color="auto" w:fill="FFFFFF"/>
        </w:rPr>
        <w:t xml:space="preserve"> impresa e da settore a settore;</w:t>
      </w:r>
    </w:p>
    <w:p w:rsidR="00CB76A5" w:rsidRDefault="00CB76A5" w:rsidP="00CB76A5">
      <w:pPr>
        <w:pStyle w:val="Paragrafoelenco"/>
        <w:jc w:val="both"/>
        <w:rPr>
          <w:shd w:val="clear" w:color="auto" w:fill="FFFFFF"/>
        </w:rPr>
      </w:pPr>
    </w:p>
    <w:p w:rsidR="00CB76A5" w:rsidRPr="00FB61D7" w:rsidRDefault="007C194D" w:rsidP="00FB61D7">
      <w:pPr>
        <w:pStyle w:val="Paragrafoelenco"/>
        <w:numPr>
          <w:ilvl w:val="0"/>
          <w:numId w:val="1"/>
        </w:numPr>
        <w:jc w:val="both"/>
        <w:rPr>
          <w:shd w:val="clear" w:color="auto" w:fill="FFFFFF"/>
        </w:rPr>
      </w:pPr>
      <w:r w:rsidRPr="00CB76A5">
        <w:rPr>
          <w:shd w:val="clear" w:color="auto" w:fill="FFFFFF"/>
        </w:rPr>
        <w:t>corporazioni con maggiore potere di monopolio tendono a brevettare di meno. Questo risultato è in linea con una delle teorie proposte dagli storici circa</w:t>
      </w:r>
      <w:r w:rsidR="00CB76A5" w:rsidRPr="00CB76A5">
        <w:rPr>
          <w:shd w:val="clear" w:color="auto" w:fill="FFFFFF"/>
        </w:rPr>
        <w:t xml:space="preserve"> motivi che hanno portato il governo v</w:t>
      </w:r>
      <w:r w:rsidRPr="00CB76A5">
        <w:rPr>
          <w:shd w:val="clear" w:color="auto" w:fill="FFFFFF"/>
        </w:rPr>
        <w:t>enezia</w:t>
      </w:r>
      <w:r w:rsidR="00CB76A5" w:rsidRPr="00CB76A5">
        <w:rPr>
          <w:shd w:val="clear" w:color="auto" w:fill="FFFFFF"/>
        </w:rPr>
        <w:t>no</w:t>
      </w:r>
      <w:r w:rsidRPr="00CB76A5">
        <w:rPr>
          <w:shd w:val="clear" w:color="auto" w:fill="FFFFFF"/>
        </w:rPr>
        <w:t xml:space="preserve"> </w:t>
      </w:r>
      <w:r w:rsidR="00CB76A5" w:rsidRPr="00CB76A5">
        <w:rPr>
          <w:shd w:val="clear" w:color="auto" w:fill="FFFFFF"/>
        </w:rPr>
        <w:t xml:space="preserve">ad </w:t>
      </w:r>
      <w:r w:rsidRPr="00CB76A5">
        <w:rPr>
          <w:shd w:val="clear" w:color="auto" w:fill="FFFFFF"/>
        </w:rPr>
        <w:t>approva</w:t>
      </w:r>
      <w:r w:rsidR="00CB76A5" w:rsidRPr="00CB76A5">
        <w:rPr>
          <w:shd w:val="clear" w:color="auto" w:fill="FFFFFF"/>
        </w:rPr>
        <w:t>re</w:t>
      </w:r>
      <w:r w:rsidRPr="00CB76A5">
        <w:rPr>
          <w:shd w:val="clear" w:color="auto" w:fill="FFFFFF"/>
        </w:rPr>
        <w:t xml:space="preserve"> la legge sui brevetti;</w:t>
      </w:r>
    </w:p>
    <w:p w:rsidR="00CB76A5" w:rsidRDefault="00CB76A5" w:rsidP="00CB76A5">
      <w:pPr>
        <w:pStyle w:val="Paragrafoelenco"/>
        <w:jc w:val="both"/>
        <w:rPr>
          <w:shd w:val="clear" w:color="auto" w:fill="FFFFFF"/>
        </w:rPr>
      </w:pPr>
    </w:p>
    <w:p w:rsidR="007C194D" w:rsidRDefault="007C194D" w:rsidP="00151280">
      <w:pPr>
        <w:pStyle w:val="Paragrafoelenco"/>
        <w:numPr>
          <w:ilvl w:val="0"/>
          <w:numId w:val="1"/>
        </w:numPr>
        <w:jc w:val="both"/>
        <w:rPr>
          <w:shd w:val="clear" w:color="auto" w:fill="FFFFFF"/>
        </w:rPr>
      </w:pPr>
      <w:r w:rsidRPr="00CB76A5">
        <w:rPr>
          <w:shd w:val="clear" w:color="auto" w:fill="FFFFFF"/>
        </w:rPr>
        <w:lastRenderedPageBreak/>
        <w:t xml:space="preserve">corporazioni che operano in città distanti da Venezia hanno una maggiore propensione a brevettare. Il risultato suggerisce che i brevetti tendevano ad essere percepiti </w:t>
      </w:r>
      <w:r w:rsidR="00CB76A5">
        <w:rPr>
          <w:shd w:val="clear" w:color="auto" w:fill="FFFFFF"/>
        </w:rPr>
        <w:t xml:space="preserve">come </w:t>
      </w:r>
      <w:r w:rsidRPr="00CB76A5">
        <w:rPr>
          <w:shd w:val="clear" w:color="auto" w:fill="FFFFFF"/>
        </w:rPr>
        <w:t xml:space="preserve">più efficaci </w:t>
      </w:r>
      <w:r w:rsidR="00CB76A5" w:rsidRPr="00CB76A5">
        <w:rPr>
          <w:shd w:val="clear" w:color="auto" w:fill="FFFFFF"/>
        </w:rPr>
        <w:t>dal</w:t>
      </w:r>
      <w:r w:rsidRPr="00CB76A5">
        <w:rPr>
          <w:shd w:val="clear" w:color="auto" w:fill="FFFFFF"/>
        </w:rPr>
        <w:t xml:space="preserve">le corporazioni che </w:t>
      </w:r>
      <w:r w:rsidR="00666B4C">
        <w:rPr>
          <w:shd w:val="clear" w:color="auto" w:fill="FFFFFF"/>
        </w:rPr>
        <w:t xml:space="preserve">si trovavano in una posizione di </w:t>
      </w:r>
      <w:proofErr w:type="spellStart"/>
      <w:r w:rsidR="00666B4C">
        <w:rPr>
          <w:shd w:val="clear" w:color="auto" w:fill="FFFFFF"/>
        </w:rPr>
        <w:t>lontanza</w:t>
      </w:r>
      <w:proofErr w:type="spellEnd"/>
      <w:r w:rsidRPr="00CB76A5">
        <w:rPr>
          <w:shd w:val="clear" w:color="auto" w:fill="FFFFFF"/>
        </w:rPr>
        <w:t xml:space="preserve"> dal </w:t>
      </w:r>
      <w:r w:rsidR="00CB76A5">
        <w:rPr>
          <w:shd w:val="clear" w:color="auto" w:fill="FFFFFF"/>
        </w:rPr>
        <w:t xml:space="preserve">centro del </w:t>
      </w:r>
      <w:r w:rsidRPr="00CB76A5">
        <w:rPr>
          <w:shd w:val="clear" w:color="auto" w:fill="FFFFFF"/>
        </w:rPr>
        <w:t>potere politico</w:t>
      </w:r>
      <w:r w:rsidR="00287315">
        <w:rPr>
          <w:shd w:val="clear" w:color="auto" w:fill="FFFFFF"/>
        </w:rPr>
        <w:t>.</w:t>
      </w:r>
    </w:p>
    <w:p w:rsidR="00287315" w:rsidRDefault="00287315" w:rsidP="00287315">
      <w:pPr>
        <w:jc w:val="both"/>
        <w:rPr>
          <w:shd w:val="clear" w:color="auto" w:fill="FFFFFF"/>
        </w:rPr>
      </w:pPr>
    </w:p>
    <w:p w:rsidR="00287315" w:rsidRPr="00287315" w:rsidRDefault="00287315" w:rsidP="00287315">
      <w:pPr>
        <w:jc w:val="both"/>
        <w:rPr>
          <w:rFonts w:cstheme="minorHAnsi"/>
          <w:shd w:val="clear" w:color="auto" w:fill="FFFFFF"/>
        </w:rPr>
      </w:pPr>
      <w:r w:rsidRPr="00287315">
        <w:rPr>
          <w:shd w:val="clear" w:color="auto" w:fill="FFFFFF"/>
        </w:rPr>
        <w:t>I</w:t>
      </w:r>
      <w:r>
        <w:rPr>
          <w:shd w:val="clear" w:color="auto" w:fill="FFFFFF"/>
        </w:rPr>
        <w:t>n conclusione, i</w:t>
      </w:r>
      <w:r w:rsidRPr="00287315">
        <w:rPr>
          <w:shd w:val="clear" w:color="auto" w:fill="FFFFFF"/>
        </w:rPr>
        <w:t xml:space="preserve"> temi che caratterizzano il dibattito corrente </w:t>
      </w:r>
      <w:r w:rsidR="00206273">
        <w:rPr>
          <w:shd w:val="clear" w:color="auto" w:fill="FFFFFF"/>
        </w:rPr>
        <w:t>su</w:t>
      </w:r>
      <w:r w:rsidR="00666B4C">
        <w:rPr>
          <w:shd w:val="clear" w:color="auto" w:fill="FFFFFF"/>
        </w:rPr>
        <w:t>ll’</w:t>
      </w:r>
      <w:r w:rsidR="00206273" w:rsidRPr="00287315">
        <w:rPr>
          <w:shd w:val="clear" w:color="auto" w:fill="FFFFFF"/>
        </w:rPr>
        <w:t xml:space="preserve">eterogeneità nell’uso dei brevetti </w:t>
      </w:r>
      <w:r w:rsidRPr="00287315">
        <w:rPr>
          <w:shd w:val="clear" w:color="auto" w:fill="FFFFFF"/>
        </w:rPr>
        <w:t xml:space="preserve">e </w:t>
      </w:r>
      <w:r w:rsidR="00666B4C">
        <w:rPr>
          <w:shd w:val="clear" w:color="auto" w:fill="FFFFFF"/>
        </w:rPr>
        <w:t xml:space="preserve">sulle </w:t>
      </w:r>
      <w:r w:rsidRPr="00287315">
        <w:rPr>
          <w:shd w:val="clear" w:color="auto" w:fill="FFFFFF"/>
        </w:rPr>
        <w:t>forme di mercato (concorrenza v</w:t>
      </w:r>
      <w:r w:rsidR="00206273">
        <w:rPr>
          <w:shd w:val="clear" w:color="auto" w:fill="FFFFFF"/>
        </w:rPr>
        <w:t>ersus monopolio)</w:t>
      </w:r>
      <w:r w:rsidRPr="00287315">
        <w:rPr>
          <w:shd w:val="clear" w:color="auto" w:fill="FFFFFF"/>
        </w:rPr>
        <w:t xml:space="preserve"> </w:t>
      </w:r>
      <w:r w:rsidR="00666B4C">
        <w:rPr>
          <w:shd w:val="clear" w:color="auto" w:fill="FFFFFF"/>
        </w:rPr>
        <w:t>erano</w:t>
      </w:r>
      <w:r w:rsidRPr="00287315">
        <w:rPr>
          <w:shd w:val="clear" w:color="auto" w:fill="FFFFFF"/>
        </w:rPr>
        <w:t xml:space="preserve"> già presenti a Venezia nel 1500</w:t>
      </w:r>
      <w:r>
        <w:rPr>
          <w:shd w:val="clear" w:color="auto" w:fill="FFFFFF"/>
        </w:rPr>
        <w:t xml:space="preserve">. </w:t>
      </w:r>
      <w:r w:rsidRPr="00287315">
        <w:rPr>
          <w:rFonts w:cstheme="minorHAnsi"/>
          <w:color w:val="000000" w:themeColor="text1"/>
        </w:rPr>
        <w:t>Tale continuit</w:t>
      </w:r>
      <w:r w:rsidRPr="00287315">
        <w:rPr>
          <w:rFonts w:cstheme="minorHAnsi"/>
        </w:rPr>
        <w:t xml:space="preserve">à storica suggerisce come certi </w:t>
      </w:r>
      <w:proofErr w:type="spellStart"/>
      <w:r w:rsidRPr="00FB61D7">
        <w:rPr>
          <w:rFonts w:cstheme="minorHAnsi"/>
          <w:i/>
        </w:rPr>
        <w:t>trade</w:t>
      </w:r>
      <w:proofErr w:type="spellEnd"/>
      <w:r w:rsidRPr="00FB61D7">
        <w:rPr>
          <w:rFonts w:cstheme="minorHAnsi"/>
          <w:i/>
        </w:rPr>
        <w:t>-off</w:t>
      </w:r>
      <w:r w:rsidRPr="00287315">
        <w:rPr>
          <w:rFonts w:cstheme="minorHAnsi"/>
        </w:rPr>
        <w:t xml:space="preserve"> economici siano stabili nel tempo, e possano guidare lo studio e la regolamentazione di future industrie</w:t>
      </w:r>
      <w:r>
        <w:rPr>
          <w:rFonts w:cstheme="minorHAnsi"/>
        </w:rPr>
        <w:t>. In un momento di grandi cambiamenti tecnologici</w:t>
      </w:r>
      <w:r w:rsidR="00666B4C">
        <w:rPr>
          <w:rFonts w:cstheme="minorHAnsi"/>
        </w:rPr>
        <w:t>,</w:t>
      </w:r>
      <w:r>
        <w:rPr>
          <w:rFonts w:cstheme="minorHAnsi"/>
        </w:rPr>
        <w:t xml:space="preserve"> questa consapevolezza può </w:t>
      </w:r>
      <w:r w:rsidR="00516CE6">
        <w:rPr>
          <w:rFonts w:cstheme="minorHAnsi"/>
        </w:rPr>
        <w:t>esser</w:t>
      </w:r>
      <w:r w:rsidR="00FB61D7">
        <w:rPr>
          <w:rFonts w:cstheme="minorHAnsi"/>
        </w:rPr>
        <w:t>e</w:t>
      </w:r>
      <w:r w:rsidR="00516CE6">
        <w:rPr>
          <w:rFonts w:cstheme="minorHAnsi"/>
        </w:rPr>
        <w:t xml:space="preserve"> di grande aiuto</w:t>
      </w:r>
      <w:r w:rsidR="00FB61D7">
        <w:rPr>
          <w:rFonts w:cstheme="minorHAnsi"/>
        </w:rPr>
        <w:t xml:space="preserve"> sia per i ricercatori che per </w:t>
      </w:r>
      <w:proofErr w:type="gramStart"/>
      <w:r w:rsidR="00FB61D7">
        <w:rPr>
          <w:rFonts w:cstheme="minorHAnsi"/>
        </w:rPr>
        <w:t xml:space="preserve">il </w:t>
      </w:r>
      <w:r w:rsidR="00FB61D7" w:rsidRPr="00FB61D7">
        <w:rPr>
          <w:rFonts w:cstheme="minorHAnsi"/>
          <w:i/>
        </w:rPr>
        <w:t>policy</w:t>
      </w:r>
      <w:proofErr w:type="gramEnd"/>
      <w:r w:rsidR="00FB61D7" w:rsidRPr="00FB61D7">
        <w:rPr>
          <w:rFonts w:cstheme="minorHAnsi"/>
          <w:i/>
        </w:rPr>
        <w:t xml:space="preserve"> maker</w:t>
      </w:r>
      <w:r w:rsidR="00FB61D7">
        <w:rPr>
          <w:rFonts w:cstheme="minorHAnsi"/>
        </w:rPr>
        <w:t>.</w:t>
      </w:r>
      <w:r>
        <w:rPr>
          <w:rFonts w:cstheme="minorHAnsi"/>
        </w:rPr>
        <w:t xml:space="preserve"> </w:t>
      </w:r>
    </w:p>
    <w:p w:rsidR="004844B3" w:rsidRDefault="004844B3" w:rsidP="00151280">
      <w:pPr>
        <w:jc w:val="both"/>
        <w:rPr>
          <w:shd w:val="clear" w:color="auto" w:fill="FFFFFF"/>
        </w:rPr>
      </w:pPr>
    </w:p>
    <w:p w:rsidR="004C222B" w:rsidRDefault="004844B3" w:rsidP="004C222B">
      <w:pPr>
        <w:jc w:val="both"/>
      </w:pPr>
      <w:r>
        <w:rPr>
          <w:shd w:val="clear" w:color="auto" w:fill="FFFFFF"/>
        </w:rPr>
        <w:t xml:space="preserve">La seconda ricerca, </w:t>
      </w:r>
      <w:r w:rsidR="00666B4C">
        <w:rPr>
          <w:shd w:val="clear" w:color="auto" w:fill="FFFFFF"/>
        </w:rPr>
        <w:t xml:space="preserve">quella </w:t>
      </w:r>
      <w:r>
        <w:rPr>
          <w:shd w:val="clear" w:color="auto" w:fill="FFFFFF"/>
        </w:rPr>
        <w:t xml:space="preserve">ancora in fase di progettazione, si propone invece di studiare l’effetto della legge veneziana sul diritto d’autore sulla produzione libraria. </w:t>
      </w:r>
      <w:r w:rsidR="004C222B">
        <w:rPr>
          <w:shd w:val="clear" w:color="auto" w:fill="FFFFFF"/>
        </w:rPr>
        <w:t>In particolare, l</w:t>
      </w:r>
      <w:r w:rsidR="004C222B">
        <w:t xml:space="preserve">o scopo della ricerca è quello di verificare se la legge del 1545 ha avuto una funzione di stimolo dell’attività editoriale di Venezia che, all’epoca, era la città con il maggior numero di libri stampati in Europa. </w:t>
      </w:r>
      <w:r w:rsidR="00666B4C">
        <w:rPr>
          <w:rFonts w:ascii="Calibri" w:hAnsi="Calibri" w:cs="Calibri"/>
        </w:rPr>
        <w:t>È doveroso considerare che,</w:t>
      </w:r>
      <w:r w:rsidR="004C222B">
        <w:t xml:space="preserve"> malgrado le profonde differenze nelle attuali legislazioni tra </w:t>
      </w:r>
      <w:r w:rsidR="004C222B" w:rsidRPr="00FB61D7">
        <w:rPr>
          <w:i/>
        </w:rPr>
        <w:t>copyright</w:t>
      </w:r>
      <w:r w:rsidR="004C222B">
        <w:t xml:space="preserve"> e brevetti, i due concetti sono nati insieme e </w:t>
      </w:r>
      <w:r w:rsidR="00FB61D7">
        <w:t xml:space="preserve">hanno </w:t>
      </w:r>
      <w:r w:rsidR="004C222B">
        <w:t>radici comuni. Abbiamo visto nella precedente ricerca che la legge sui brevetti ha svolto una funzione di attrazione per inventori e artigiani con particolari conoscen</w:t>
      </w:r>
      <w:r w:rsidR="00666B4C">
        <w:t>ze delle tecniche di produzione. L</w:t>
      </w:r>
      <w:r w:rsidR="004C222B">
        <w:t xml:space="preserve">a domanda che </w:t>
      </w:r>
      <w:r w:rsidR="0071025C">
        <w:t>ci poniamo con questa seconda ricerca</w:t>
      </w:r>
      <w:r w:rsidR="004C222B">
        <w:t xml:space="preserve"> è </w:t>
      </w:r>
      <w:r w:rsidR="00666B4C">
        <w:t xml:space="preserve">quella di </w:t>
      </w:r>
      <w:r w:rsidR="004C222B">
        <w:t>verificare se la legge sui diritti d’autore ha avuto una funz</w:t>
      </w:r>
      <w:r w:rsidR="00666B4C">
        <w:t>ione simile per gli scrittori e per gli</w:t>
      </w:r>
      <w:r w:rsidR="004C222B">
        <w:t xml:space="preserve"> artisti.  </w:t>
      </w:r>
    </w:p>
    <w:p w:rsidR="004C222B" w:rsidRDefault="004844B3" w:rsidP="002573C8">
      <w:pPr>
        <w:jc w:val="both"/>
      </w:pPr>
      <w:r>
        <w:rPr>
          <w:shd w:val="clear" w:color="auto" w:fill="FFFFFF"/>
        </w:rPr>
        <w:t>La principale fonte di dati per questo studio sarà quella del “</w:t>
      </w:r>
      <w:r w:rsidRPr="004743A1">
        <w:t>Censimento nazionale delle edizioni italiane del XVI secolo”</w:t>
      </w:r>
      <w:r>
        <w:t>.</w:t>
      </w:r>
      <w:r w:rsidR="002A6CD8">
        <w:t xml:space="preserve"> </w:t>
      </w:r>
    </w:p>
    <w:p w:rsidR="00FB61D7" w:rsidRDefault="00FB61D7" w:rsidP="002573C8">
      <w:pPr>
        <w:jc w:val="both"/>
      </w:pPr>
    </w:p>
    <w:p w:rsidR="00FB61D7" w:rsidRDefault="00FB61D7" w:rsidP="002573C8">
      <w:pPr>
        <w:jc w:val="both"/>
      </w:pPr>
    </w:p>
    <w:p w:rsidR="00FB61D7" w:rsidRDefault="00FB61D7" w:rsidP="002573C8">
      <w:pPr>
        <w:jc w:val="both"/>
      </w:pPr>
      <w:r w:rsidRPr="00FB61D7">
        <w:rPr>
          <w:b/>
        </w:rPr>
        <w:t>Contatt</w:t>
      </w:r>
      <w:r w:rsidR="001F4F96">
        <w:rPr>
          <w:b/>
        </w:rPr>
        <w:t>i</w:t>
      </w:r>
    </w:p>
    <w:p w:rsidR="00FB61D7" w:rsidRDefault="00FB61D7" w:rsidP="002573C8">
      <w:pPr>
        <w:jc w:val="both"/>
      </w:pPr>
      <w:r>
        <w:t xml:space="preserve">Stefano Comino: </w:t>
      </w:r>
      <w:hyperlink r:id="rId8" w:history="1">
        <w:r w:rsidRPr="00650F54">
          <w:rPr>
            <w:rStyle w:val="Collegamentoipertestuale"/>
          </w:rPr>
          <w:t>stefano.comino@uniud.it</w:t>
        </w:r>
      </w:hyperlink>
    </w:p>
    <w:p w:rsidR="00FB61D7" w:rsidRDefault="00FB61D7" w:rsidP="002573C8">
      <w:pPr>
        <w:jc w:val="both"/>
      </w:pPr>
      <w:r>
        <w:t xml:space="preserve">Clara Graziano: </w:t>
      </w:r>
      <w:hyperlink r:id="rId9" w:history="1">
        <w:r w:rsidRPr="00650F54">
          <w:rPr>
            <w:rStyle w:val="Collegamentoipertestuale"/>
          </w:rPr>
          <w:t>clara.graziano@uniud.it</w:t>
        </w:r>
      </w:hyperlink>
    </w:p>
    <w:p w:rsidR="00FB61D7" w:rsidRDefault="00FB61D7" w:rsidP="002573C8">
      <w:pPr>
        <w:jc w:val="both"/>
      </w:pPr>
    </w:p>
    <w:p w:rsidR="00FB61D7" w:rsidRDefault="00FB61D7" w:rsidP="002573C8">
      <w:pPr>
        <w:jc w:val="both"/>
      </w:pPr>
    </w:p>
    <w:p w:rsidR="004844B3" w:rsidRPr="00BA6ED0" w:rsidRDefault="002573C8" w:rsidP="002573C8">
      <w:pPr>
        <w:jc w:val="both"/>
      </w:pPr>
      <w:r>
        <w:rPr>
          <w:noProof/>
          <w:lang w:eastAsia="it-IT"/>
        </w:rPr>
        <w:lastRenderedPageBreak/>
        <w:drawing>
          <wp:inline distT="0" distB="0" distL="0" distR="0" wp14:anchorId="33FDC5D6" wp14:editId="5F02E825">
            <wp:extent cx="6116320" cy="3517265"/>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3517265"/>
                    </a:xfrm>
                    <a:prstGeom prst="rect">
                      <a:avLst/>
                    </a:prstGeom>
                    <a:noFill/>
                    <a:ln>
                      <a:noFill/>
                    </a:ln>
                    <a:extLst/>
                  </pic:spPr>
                </pic:pic>
              </a:graphicData>
            </a:graphic>
          </wp:inline>
        </w:drawing>
      </w:r>
    </w:p>
    <w:sectPr w:rsidR="004844B3" w:rsidRPr="00BA6ED0" w:rsidSect="00E85F01">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71" w:rsidRDefault="004A0271" w:rsidP="003D2B7E">
      <w:r>
        <w:separator/>
      </w:r>
    </w:p>
  </w:endnote>
  <w:endnote w:type="continuationSeparator" w:id="0">
    <w:p w:rsidR="004A0271" w:rsidRDefault="004A0271" w:rsidP="003D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8506"/>
      <w:docPartObj>
        <w:docPartGallery w:val="Page Numbers (Bottom of Page)"/>
        <w:docPartUnique/>
      </w:docPartObj>
    </w:sdtPr>
    <w:sdtEndPr/>
    <w:sdtContent>
      <w:p w:rsidR="00206273" w:rsidRDefault="00206273">
        <w:pPr>
          <w:pStyle w:val="Pidipagina"/>
          <w:jc w:val="center"/>
        </w:pPr>
        <w:r>
          <w:fldChar w:fldCharType="begin"/>
        </w:r>
        <w:r>
          <w:instrText>PAGE   \* MERGEFORMAT</w:instrText>
        </w:r>
        <w:r>
          <w:fldChar w:fldCharType="separate"/>
        </w:r>
        <w:r w:rsidR="00883A53">
          <w:rPr>
            <w:noProof/>
          </w:rPr>
          <w:t>1</w:t>
        </w:r>
        <w:r>
          <w:fldChar w:fldCharType="end"/>
        </w:r>
      </w:p>
    </w:sdtContent>
  </w:sdt>
  <w:p w:rsidR="00206273" w:rsidRDefault="002062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71" w:rsidRDefault="004A0271" w:rsidP="003D2B7E">
      <w:r>
        <w:separator/>
      </w:r>
    </w:p>
  </w:footnote>
  <w:footnote w:type="continuationSeparator" w:id="0">
    <w:p w:rsidR="004A0271" w:rsidRDefault="004A0271" w:rsidP="003D2B7E">
      <w:r>
        <w:continuationSeparator/>
      </w:r>
    </w:p>
  </w:footnote>
  <w:footnote w:id="1">
    <w:p w:rsidR="003D2B7E" w:rsidRDefault="003D2B7E">
      <w:pPr>
        <w:pStyle w:val="Testonotaapidipagina"/>
      </w:pPr>
      <w:r>
        <w:rPr>
          <w:rStyle w:val="Rimandonotaapidipagina"/>
        </w:rPr>
        <w:footnoteRef/>
      </w:r>
      <w:r>
        <w:t xml:space="preserve"> Una versione completa della ricerca è reperibile all’indirizzo </w:t>
      </w:r>
      <w:r w:rsidRPr="003D2B7E">
        <w:t>https://www.nber.org/papers/w24118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B7DFC"/>
    <w:multiLevelType w:val="hybridMultilevel"/>
    <w:tmpl w:val="163E9364"/>
    <w:lvl w:ilvl="0" w:tplc="0EF089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94"/>
    <w:rsid w:val="00151280"/>
    <w:rsid w:val="001A3873"/>
    <w:rsid w:val="001F3EE6"/>
    <w:rsid w:val="001F4F96"/>
    <w:rsid w:val="00206273"/>
    <w:rsid w:val="002573C8"/>
    <w:rsid w:val="00287315"/>
    <w:rsid w:val="002A6CD8"/>
    <w:rsid w:val="002D3909"/>
    <w:rsid w:val="00362495"/>
    <w:rsid w:val="003C22BD"/>
    <w:rsid w:val="003C5BE7"/>
    <w:rsid w:val="003D2B7E"/>
    <w:rsid w:val="00455892"/>
    <w:rsid w:val="00477C94"/>
    <w:rsid w:val="004844B3"/>
    <w:rsid w:val="004A0271"/>
    <w:rsid w:val="004C222B"/>
    <w:rsid w:val="00516CE6"/>
    <w:rsid w:val="005A47E9"/>
    <w:rsid w:val="00605308"/>
    <w:rsid w:val="00666B4C"/>
    <w:rsid w:val="0071025C"/>
    <w:rsid w:val="007B757A"/>
    <w:rsid w:val="007C194D"/>
    <w:rsid w:val="008732D2"/>
    <w:rsid w:val="00883A53"/>
    <w:rsid w:val="008F05A2"/>
    <w:rsid w:val="009100DB"/>
    <w:rsid w:val="009874E4"/>
    <w:rsid w:val="00AE53B6"/>
    <w:rsid w:val="00B13FD8"/>
    <w:rsid w:val="00B474B0"/>
    <w:rsid w:val="00BA6ED0"/>
    <w:rsid w:val="00CB76A5"/>
    <w:rsid w:val="00DE7841"/>
    <w:rsid w:val="00E237A6"/>
    <w:rsid w:val="00E61A56"/>
    <w:rsid w:val="00E85F01"/>
    <w:rsid w:val="00FB6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C20E"/>
  <w15:chartTrackingRefBased/>
  <w15:docId w15:val="{B4C2B3FD-B72C-154E-9573-58F6232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76A5"/>
    <w:pPr>
      <w:ind w:left="720"/>
      <w:contextualSpacing/>
    </w:pPr>
  </w:style>
  <w:style w:type="paragraph" w:styleId="Testonotaapidipagina">
    <w:name w:val="footnote text"/>
    <w:basedOn w:val="Normale"/>
    <w:link w:val="TestonotaapidipaginaCarattere"/>
    <w:uiPriority w:val="99"/>
    <w:semiHidden/>
    <w:unhideWhenUsed/>
    <w:rsid w:val="003D2B7E"/>
    <w:rPr>
      <w:sz w:val="20"/>
      <w:szCs w:val="20"/>
    </w:rPr>
  </w:style>
  <w:style w:type="character" w:customStyle="1" w:styleId="TestonotaapidipaginaCarattere">
    <w:name w:val="Testo nota a piè di pagina Carattere"/>
    <w:basedOn w:val="Carpredefinitoparagrafo"/>
    <w:link w:val="Testonotaapidipagina"/>
    <w:uiPriority w:val="99"/>
    <w:semiHidden/>
    <w:rsid w:val="003D2B7E"/>
    <w:rPr>
      <w:sz w:val="20"/>
      <w:szCs w:val="20"/>
    </w:rPr>
  </w:style>
  <w:style w:type="character" w:styleId="Rimandonotaapidipagina">
    <w:name w:val="footnote reference"/>
    <w:basedOn w:val="Carpredefinitoparagrafo"/>
    <w:uiPriority w:val="99"/>
    <w:semiHidden/>
    <w:unhideWhenUsed/>
    <w:rsid w:val="003D2B7E"/>
    <w:rPr>
      <w:vertAlign w:val="superscript"/>
    </w:rPr>
  </w:style>
  <w:style w:type="paragraph" w:styleId="Intestazione">
    <w:name w:val="header"/>
    <w:basedOn w:val="Normale"/>
    <w:link w:val="IntestazioneCarattere"/>
    <w:uiPriority w:val="99"/>
    <w:unhideWhenUsed/>
    <w:rsid w:val="00206273"/>
    <w:pPr>
      <w:tabs>
        <w:tab w:val="center" w:pos="4986"/>
        <w:tab w:val="right" w:pos="9972"/>
      </w:tabs>
    </w:pPr>
  </w:style>
  <w:style w:type="character" w:customStyle="1" w:styleId="IntestazioneCarattere">
    <w:name w:val="Intestazione Carattere"/>
    <w:basedOn w:val="Carpredefinitoparagrafo"/>
    <w:link w:val="Intestazione"/>
    <w:uiPriority w:val="99"/>
    <w:rsid w:val="00206273"/>
  </w:style>
  <w:style w:type="paragraph" w:styleId="Pidipagina">
    <w:name w:val="footer"/>
    <w:basedOn w:val="Normale"/>
    <w:link w:val="PidipaginaCarattere"/>
    <w:uiPriority w:val="99"/>
    <w:unhideWhenUsed/>
    <w:rsid w:val="00206273"/>
    <w:pPr>
      <w:tabs>
        <w:tab w:val="center" w:pos="4986"/>
        <w:tab w:val="right" w:pos="9972"/>
      </w:tabs>
    </w:pPr>
  </w:style>
  <w:style w:type="character" w:customStyle="1" w:styleId="PidipaginaCarattere">
    <w:name w:val="Piè di pagina Carattere"/>
    <w:basedOn w:val="Carpredefinitoparagrafo"/>
    <w:link w:val="Pidipagina"/>
    <w:uiPriority w:val="99"/>
    <w:rsid w:val="00206273"/>
  </w:style>
  <w:style w:type="paragraph" w:styleId="Testofumetto">
    <w:name w:val="Balloon Text"/>
    <w:basedOn w:val="Normale"/>
    <w:link w:val="TestofumettoCarattere"/>
    <w:uiPriority w:val="99"/>
    <w:semiHidden/>
    <w:unhideWhenUsed/>
    <w:rsid w:val="00FB61D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B61D7"/>
    <w:rPr>
      <w:rFonts w:ascii="Times New Roman" w:hAnsi="Times New Roman" w:cs="Times New Roman"/>
      <w:sz w:val="18"/>
      <w:szCs w:val="18"/>
    </w:rPr>
  </w:style>
  <w:style w:type="character" w:styleId="Collegamentoipertestuale">
    <w:name w:val="Hyperlink"/>
    <w:basedOn w:val="Carpredefinitoparagrafo"/>
    <w:uiPriority w:val="99"/>
    <w:unhideWhenUsed/>
    <w:rsid w:val="00FB61D7"/>
    <w:rPr>
      <w:color w:val="0563C1" w:themeColor="hyperlink"/>
      <w:u w:val="single"/>
    </w:rPr>
  </w:style>
  <w:style w:type="character" w:customStyle="1" w:styleId="UnresolvedMention">
    <w:name w:val="Unresolved Mention"/>
    <w:basedOn w:val="Carpredefinitoparagrafo"/>
    <w:uiPriority w:val="99"/>
    <w:semiHidden/>
    <w:unhideWhenUsed/>
    <w:rsid w:val="00FB6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comino@uni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ara.graziano@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9D35-8EA1-466D-A197-AA49643D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Vanny Piccoli</cp:lastModifiedBy>
  <cp:revision>6</cp:revision>
  <dcterms:created xsi:type="dcterms:W3CDTF">2019-06-17T10:37:00Z</dcterms:created>
  <dcterms:modified xsi:type="dcterms:W3CDTF">2019-07-22T07:15:00Z</dcterms:modified>
</cp:coreProperties>
</file>